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5AED4" w14:textId="77777777" w:rsidR="007972A6" w:rsidRDefault="007972A6" w:rsidP="0054138E">
      <w:bookmarkStart w:id="0" w:name="_Toc357771619"/>
      <w:bookmarkStart w:id="1" w:name="_Toc512852421"/>
    </w:p>
    <w:sdt>
      <w:sdtPr>
        <w:rPr>
          <w:rFonts w:eastAsiaTheme="minorHAnsi" w:cstheme="minorBidi"/>
          <w:b w:val="0"/>
          <w:bCs w:val="0"/>
          <w:color w:val="auto"/>
          <w:sz w:val="22"/>
          <w:szCs w:val="22"/>
          <w:lang w:val="fr-FR" w:eastAsia="en-US"/>
        </w:rPr>
        <w:id w:val="1010111460"/>
        <w:docPartObj>
          <w:docPartGallery w:val="Table of Contents"/>
          <w:docPartUnique/>
        </w:docPartObj>
      </w:sdtPr>
      <w:sdtEndPr>
        <w:rPr>
          <w:sz w:val="20"/>
        </w:rPr>
      </w:sdtEndPr>
      <w:sdtContent>
        <w:p w14:paraId="4DC64680" w14:textId="77777777" w:rsidR="00603AFF" w:rsidRDefault="00320052" w:rsidP="00603AFF">
          <w:pPr>
            <w:pStyle w:val="En-ttedetabledesmatires"/>
            <w:numPr>
              <w:ilvl w:val="0"/>
              <w:numId w:val="0"/>
            </w:numPr>
            <w:ind w:left="360" w:hanging="360"/>
            <w:jc w:val="center"/>
          </w:pPr>
          <w:r>
            <w:rPr>
              <w:lang w:val="fr-FR"/>
            </w:rPr>
            <w:t>Table des matières</w:t>
          </w:r>
        </w:p>
        <w:p w14:paraId="66CFE27D" w14:textId="679488D0" w:rsidR="001F0CEF" w:rsidRDefault="00603AFF">
          <w:pPr>
            <w:pStyle w:val="TM1"/>
            <w:tabs>
              <w:tab w:val="left" w:pos="440"/>
              <w:tab w:val="right" w:leader="dot" w:pos="9060"/>
            </w:tabs>
            <w:rPr>
              <w:rFonts w:asciiTheme="minorHAnsi" w:eastAsiaTheme="minorEastAsia" w:hAnsiTheme="minorHAnsi"/>
              <w:noProof/>
              <w:sz w:val="22"/>
              <w:lang w:val="fr-BE" w:eastAsia="fr-BE"/>
            </w:rPr>
          </w:pPr>
          <w:r>
            <w:fldChar w:fldCharType="begin"/>
          </w:r>
          <w:r>
            <w:instrText xml:space="preserve"> TOC \o "1-3" \h \z \u </w:instrText>
          </w:r>
          <w:r>
            <w:fldChar w:fldCharType="separate"/>
          </w:r>
          <w:hyperlink w:anchor="_Toc103007692" w:history="1">
            <w:r w:rsidR="001F0CEF" w:rsidRPr="00420FD6">
              <w:rPr>
                <w:rStyle w:val="Lienhypertexte"/>
                <w:noProof/>
              </w:rPr>
              <w:t>1.</w:t>
            </w:r>
            <w:r w:rsidR="001F0CEF">
              <w:rPr>
                <w:rFonts w:asciiTheme="minorHAnsi" w:eastAsiaTheme="minorEastAsia" w:hAnsiTheme="minorHAnsi"/>
                <w:noProof/>
                <w:sz w:val="22"/>
                <w:lang w:val="fr-BE" w:eastAsia="fr-BE"/>
              </w:rPr>
              <w:tab/>
            </w:r>
            <w:r w:rsidR="001F0CEF" w:rsidRPr="00420FD6">
              <w:rPr>
                <w:rStyle w:val="Lienhypertexte"/>
                <w:noProof/>
              </w:rPr>
              <w:t>Objet</w:t>
            </w:r>
            <w:r w:rsidR="001F0CEF">
              <w:rPr>
                <w:noProof/>
                <w:webHidden/>
              </w:rPr>
              <w:tab/>
            </w:r>
            <w:r w:rsidR="001F0CEF">
              <w:rPr>
                <w:noProof/>
                <w:webHidden/>
              </w:rPr>
              <w:fldChar w:fldCharType="begin"/>
            </w:r>
            <w:r w:rsidR="001F0CEF">
              <w:rPr>
                <w:noProof/>
                <w:webHidden/>
              </w:rPr>
              <w:instrText xml:space="preserve"> PAGEREF _Toc103007692 \h </w:instrText>
            </w:r>
            <w:r w:rsidR="001F0CEF">
              <w:rPr>
                <w:noProof/>
                <w:webHidden/>
              </w:rPr>
            </w:r>
            <w:r w:rsidR="001F0CEF">
              <w:rPr>
                <w:noProof/>
                <w:webHidden/>
              </w:rPr>
              <w:fldChar w:fldCharType="separate"/>
            </w:r>
            <w:r w:rsidR="001F0CEF">
              <w:rPr>
                <w:noProof/>
                <w:webHidden/>
              </w:rPr>
              <w:t>2</w:t>
            </w:r>
            <w:r w:rsidR="001F0CEF">
              <w:rPr>
                <w:noProof/>
                <w:webHidden/>
              </w:rPr>
              <w:fldChar w:fldCharType="end"/>
            </w:r>
          </w:hyperlink>
        </w:p>
        <w:p w14:paraId="5030CA73" w14:textId="5EA70DEB" w:rsidR="001F0CEF" w:rsidRDefault="00DA5DA6">
          <w:pPr>
            <w:pStyle w:val="TM1"/>
            <w:tabs>
              <w:tab w:val="left" w:pos="440"/>
              <w:tab w:val="right" w:leader="dot" w:pos="9060"/>
            </w:tabs>
            <w:rPr>
              <w:rFonts w:asciiTheme="minorHAnsi" w:eastAsiaTheme="minorEastAsia" w:hAnsiTheme="minorHAnsi"/>
              <w:noProof/>
              <w:sz w:val="22"/>
              <w:lang w:val="fr-BE" w:eastAsia="fr-BE"/>
            </w:rPr>
          </w:pPr>
          <w:hyperlink w:anchor="_Toc103007693" w:history="1">
            <w:r w:rsidR="001F0CEF" w:rsidRPr="00420FD6">
              <w:rPr>
                <w:rStyle w:val="Lienhypertexte"/>
                <w:noProof/>
              </w:rPr>
              <w:t>2.</w:t>
            </w:r>
            <w:r w:rsidR="001F0CEF">
              <w:rPr>
                <w:rFonts w:asciiTheme="minorHAnsi" w:eastAsiaTheme="minorEastAsia" w:hAnsiTheme="minorHAnsi"/>
                <w:noProof/>
                <w:sz w:val="22"/>
                <w:lang w:val="fr-BE" w:eastAsia="fr-BE"/>
              </w:rPr>
              <w:tab/>
            </w:r>
            <w:r w:rsidR="001F0CEF" w:rsidRPr="00420FD6">
              <w:rPr>
                <w:rStyle w:val="Lienhypertexte"/>
                <w:noProof/>
              </w:rPr>
              <w:t>Domaine d’application</w:t>
            </w:r>
            <w:r w:rsidR="001F0CEF">
              <w:rPr>
                <w:noProof/>
                <w:webHidden/>
              </w:rPr>
              <w:tab/>
            </w:r>
            <w:r w:rsidR="001F0CEF">
              <w:rPr>
                <w:noProof/>
                <w:webHidden/>
              </w:rPr>
              <w:fldChar w:fldCharType="begin"/>
            </w:r>
            <w:r w:rsidR="001F0CEF">
              <w:rPr>
                <w:noProof/>
                <w:webHidden/>
              </w:rPr>
              <w:instrText xml:space="preserve"> PAGEREF _Toc103007693 \h </w:instrText>
            </w:r>
            <w:r w:rsidR="001F0CEF">
              <w:rPr>
                <w:noProof/>
                <w:webHidden/>
              </w:rPr>
            </w:r>
            <w:r w:rsidR="001F0CEF">
              <w:rPr>
                <w:noProof/>
                <w:webHidden/>
              </w:rPr>
              <w:fldChar w:fldCharType="separate"/>
            </w:r>
            <w:r w:rsidR="001F0CEF">
              <w:rPr>
                <w:noProof/>
                <w:webHidden/>
              </w:rPr>
              <w:t>2</w:t>
            </w:r>
            <w:r w:rsidR="001F0CEF">
              <w:rPr>
                <w:noProof/>
                <w:webHidden/>
              </w:rPr>
              <w:fldChar w:fldCharType="end"/>
            </w:r>
          </w:hyperlink>
        </w:p>
        <w:p w14:paraId="7AD36CF9" w14:textId="4BEBF379" w:rsidR="001F0CEF" w:rsidRDefault="00DA5DA6">
          <w:pPr>
            <w:pStyle w:val="TM1"/>
            <w:tabs>
              <w:tab w:val="left" w:pos="440"/>
              <w:tab w:val="right" w:leader="dot" w:pos="9060"/>
            </w:tabs>
            <w:rPr>
              <w:rFonts w:asciiTheme="minorHAnsi" w:eastAsiaTheme="minorEastAsia" w:hAnsiTheme="minorHAnsi"/>
              <w:noProof/>
              <w:sz w:val="22"/>
              <w:lang w:val="fr-BE" w:eastAsia="fr-BE"/>
            </w:rPr>
          </w:pPr>
          <w:hyperlink w:anchor="_Toc103007694" w:history="1">
            <w:r w:rsidR="001F0CEF" w:rsidRPr="00420FD6">
              <w:rPr>
                <w:rStyle w:val="Lienhypertexte"/>
                <w:noProof/>
              </w:rPr>
              <w:t>3.</w:t>
            </w:r>
            <w:r w:rsidR="001F0CEF">
              <w:rPr>
                <w:rFonts w:asciiTheme="minorHAnsi" w:eastAsiaTheme="minorEastAsia" w:hAnsiTheme="minorHAnsi"/>
                <w:noProof/>
                <w:sz w:val="22"/>
                <w:lang w:val="fr-BE" w:eastAsia="fr-BE"/>
              </w:rPr>
              <w:tab/>
            </w:r>
            <w:r w:rsidR="001F0CEF" w:rsidRPr="00420FD6">
              <w:rPr>
                <w:rStyle w:val="Lienhypertexte"/>
                <w:noProof/>
              </w:rPr>
              <w:t>Droits du patient – Consentement – Orientation thérapeutique</w:t>
            </w:r>
            <w:r w:rsidR="001F0CEF">
              <w:rPr>
                <w:noProof/>
                <w:webHidden/>
              </w:rPr>
              <w:tab/>
            </w:r>
            <w:r w:rsidR="001F0CEF">
              <w:rPr>
                <w:noProof/>
                <w:webHidden/>
              </w:rPr>
              <w:fldChar w:fldCharType="begin"/>
            </w:r>
            <w:r w:rsidR="001F0CEF">
              <w:rPr>
                <w:noProof/>
                <w:webHidden/>
              </w:rPr>
              <w:instrText xml:space="preserve"> PAGEREF _Toc103007694 \h </w:instrText>
            </w:r>
            <w:r w:rsidR="001F0CEF">
              <w:rPr>
                <w:noProof/>
                <w:webHidden/>
              </w:rPr>
            </w:r>
            <w:r w:rsidR="001F0CEF">
              <w:rPr>
                <w:noProof/>
                <w:webHidden/>
              </w:rPr>
              <w:fldChar w:fldCharType="separate"/>
            </w:r>
            <w:r w:rsidR="001F0CEF">
              <w:rPr>
                <w:noProof/>
                <w:webHidden/>
              </w:rPr>
              <w:t>2</w:t>
            </w:r>
            <w:r w:rsidR="001F0CEF">
              <w:rPr>
                <w:noProof/>
                <w:webHidden/>
              </w:rPr>
              <w:fldChar w:fldCharType="end"/>
            </w:r>
          </w:hyperlink>
        </w:p>
        <w:p w14:paraId="1C088C70" w14:textId="7B82F735" w:rsidR="001F0CEF" w:rsidRDefault="00DA5DA6">
          <w:pPr>
            <w:pStyle w:val="TM1"/>
            <w:tabs>
              <w:tab w:val="left" w:pos="440"/>
              <w:tab w:val="right" w:leader="dot" w:pos="9060"/>
            </w:tabs>
            <w:rPr>
              <w:rFonts w:asciiTheme="minorHAnsi" w:eastAsiaTheme="minorEastAsia" w:hAnsiTheme="minorHAnsi"/>
              <w:noProof/>
              <w:sz w:val="22"/>
              <w:lang w:val="fr-BE" w:eastAsia="fr-BE"/>
            </w:rPr>
          </w:pPr>
          <w:hyperlink w:anchor="_Toc103007695" w:history="1">
            <w:r w:rsidR="001F0CEF" w:rsidRPr="00420FD6">
              <w:rPr>
                <w:rStyle w:val="Lienhypertexte"/>
                <w:noProof/>
              </w:rPr>
              <w:t>4.</w:t>
            </w:r>
            <w:r w:rsidR="001F0CEF">
              <w:rPr>
                <w:rFonts w:asciiTheme="minorHAnsi" w:eastAsiaTheme="minorEastAsia" w:hAnsiTheme="minorHAnsi"/>
                <w:noProof/>
                <w:sz w:val="22"/>
                <w:lang w:val="fr-BE" w:eastAsia="fr-BE"/>
              </w:rPr>
              <w:tab/>
            </w:r>
            <w:r w:rsidR="001F0CEF" w:rsidRPr="00420FD6">
              <w:rPr>
                <w:rStyle w:val="Lienhypertexte"/>
                <w:noProof/>
              </w:rPr>
              <w:t>Le secret professionnel</w:t>
            </w:r>
            <w:r w:rsidR="001F0CEF">
              <w:rPr>
                <w:noProof/>
                <w:webHidden/>
              </w:rPr>
              <w:tab/>
            </w:r>
            <w:r w:rsidR="001F0CEF">
              <w:rPr>
                <w:noProof/>
                <w:webHidden/>
              </w:rPr>
              <w:fldChar w:fldCharType="begin"/>
            </w:r>
            <w:r w:rsidR="001F0CEF">
              <w:rPr>
                <w:noProof/>
                <w:webHidden/>
              </w:rPr>
              <w:instrText xml:space="preserve"> PAGEREF _Toc103007695 \h </w:instrText>
            </w:r>
            <w:r w:rsidR="001F0CEF">
              <w:rPr>
                <w:noProof/>
                <w:webHidden/>
              </w:rPr>
            </w:r>
            <w:r w:rsidR="001F0CEF">
              <w:rPr>
                <w:noProof/>
                <w:webHidden/>
              </w:rPr>
              <w:fldChar w:fldCharType="separate"/>
            </w:r>
            <w:r w:rsidR="001F0CEF">
              <w:rPr>
                <w:noProof/>
                <w:webHidden/>
              </w:rPr>
              <w:t>2</w:t>
            </w:r>
            <w:r w:rsidR="001F0CEF">
              <w:rPr>
                <w:noProof/>
                <w:webHidden/>
              </w:rPr>
              <w:fldChar w:fldCharType="end"/>
            </w:r>
          </w:hyperlink>
        </w:p>
        <w:p w14:paraId="0F006175" w14:textId="534FF264" w:rsidR="001F0CEF" w:rsidRDefault="00DA5DA6">
          <w:pPr>
            <w:pStyle w:val="TM1"/>
            <w:tabs>
              <w:tab w:val="left" w:pos="440"/>
              <w:tab w:val="right" w:leader="dot" w:pos="9060"/>
            </w:tabs>
            <w:rPr>
              <w:rFonts w:asciiTheme="minorHAnsi" w:eastAsiaTheme="minorEastAsia" w:hAnsiTheme="minorHAnsi"/>
              <w:noProof/>
              <w:sz w:val="22"/>
              <w:lang w:val="fr-BE" w:eastAsia="fr-BE"/>
            </w:rPr>
          </w:pPr>
          <w:hyperlink w:anchor="_Toc103007696" w:history="1">
            <w:r w:rsidR="001F0CEF" w:rsidRPr="00420FD6">
              <w:rPr>
                <w:rStyle w:val="Lienhypertexte"/>
                <w:noProof/>
              </w:rPr>
              <w:t>5.</w:t>
            </w:r>
            <w:r w:rsidR="001F0CEF">
              <w:rPr>
                <w:rFonts w:asciiTheme="minorHAnsi" w:eastAsiaTheme="minorEastAsia" w:hAnsiTheme="minorHAnsi"/>
                <w:noProof/>
                <w:sz w:val="22"/>
                <w:lang w:val="fr-BE" w:eastAsia="fr-BE"/>
              </w:rPr>
              <w:tab/>
            </w:r>
            <w:r w:rsidR="001F0CEF" w:rsidRPr="00420FD6">
              <w:rPr>
                <w:rStyle w:val="Lienhypertexte"/>
                <w:noProof/>
              </w:rPr>
              <w:t>Forces de police et soignants</w:t>
            </w:r>
            <w:r w:rsidR="001F0CEF">
              <w:rPr>
                <w:noProof/>
                <w:webHidden/>
              </w:rPr>
              <w:tab/>
            </w:r>
            <w:r w:rsidR="001F0CEF">
              <w:rPr>
                <w:noProof/>
                <w:webHidden/>
              </w:rPr>
              <w:fldChar w:fldCharType="begin"/>
            </w:r>
            <w:r w:rsidR="001F0CEF">
              <w:rPr>
                <w:noProof/>
                <w:webHidden/>
              </w:rPr>
              <w:instrText xml:space="preserve"> PAGEREF _Toc103007696 \h </w:instrText>
            </w:r>
            <w:r w:rsidR="001F0CEF">
              <w:rPr>
                <w:noProof/>
                <w:webHidden/>
              </w:rPr>
            </w:r>
            <w:r w:rsidR="001F0CEF">
              <w:rPr>
                <w:noProof/>
                <w:webHidden/>
              </w:rPr>
              <w:fldChar w:fldCharType="separate"/>
            </w:r>
            <w:r w:rsidR="001F0CEF">
              <w:rPr>
                <w:noProof/>
                <w:webHidden/>
              </w:rPr>
              <w:t>3</w:t>
            </w:r>
            <w:r w:rsidR="001F0CEF">
              <w:rPr>
                <w:noProof/>
                <w:webHidden/>
              </w:rPr>
              <w:fldChar w:fldCharType="end"/>
            </w:r>
          </w:hyperlink>
        </w:p>
        <w:p w14:paraId="1CA784E5" w14:textId="1D45F9B0" w:rsidR="001F0CEF" w:rsidRDefault="00DA5DA6">
          <w:pPr>
            <w:pStyle w:val="TM2"/>
            <w:tabs>
              <w:tab w:val="left" w:pos="880"/>
              <w:tab w:val="right" w:leader="dot" w:pos="9060"/>
            </w:tabs>
            <w:rPr>
              <w:rFonts w:asciiTheme="minorHAnsi" w:eastAsiaTheme="minorEastAsia" w:hAnsiTheme="minorHAnsi"/>
              <w:noProof/>
              <w:sz w:val="22"/>
              <w:lang w:val="fr-BE" w:eastAsia="fr-BE"/>
            </w:rPr>
          </w:pPr>
          <w:hyperlink w:anchor="_Toc103007697" w:history="1">
            <w:r w:rsidR="001F0CEF" w:rsidRPr="00420FD6">
              <w:rPr>
                <w:rStyle w:val="Lienhypertexte"/>
                <w:noProof/>
              </w:rPr>
              <w:t>5.1</w:t>
            </w:r>
            <w:r w:rsidR="001F0CEF">
              <w:rPr>
                <w:rFonts w:asciiTheme="minorHAnsi" w:eastAsiaTheme="minorEastAsia" w:hAnsiTheme="minorHAnsi"/>
                <w:noProof/>
                <w:sz w:val="22"/>
                <w:lang w:val="fr-BE" w:eastAsia="fr-BE"/>
              </w:rPr>
              <w:tab/>
            </w:r>
            <w:r w:rsidR="001F0CEF" w:rsidRPr="00420FD6">
              <w:rPr>
                <w:rStyle w:val="Lienhypertexte"/>
                <w:noProof/>
              </w:rPr>
              <w:t>Fait punissable commis dans l'hôpital</w:t>
            </w:r>
            <w:r w:rsidR="001F0CEF">
              <w:rPr>
                <w:noProof/>
                <w:webHidden/>
              </w:rPr>
              <w:tab/>
            </w:r>
            <w:r w:rsidR="001F0CEF">
              <w:rPr>
                <w:noProof/>
                <w:webHidden/>
              </w:rPr>
              <w:fldChar w:fldCharType="begin"/>
            </w:r>
            <w:r w:rsidR="001F0CEF">
              <w:rPr>
                <w:noProof/>
                <w:webHidden/>
              </w:rPr>
              <w:instrText xml:space="preserve"> PAGEREF _Toc103007697 \h </w:instrText>
            </w:r>
            <w:r w:rsidR="001F0CEF">
              <w:rPr>
                <w:noProof/>
                <w:webHidden/>
              </w:rPr>
            </w:r>
            <w:r w:rsidR="001F0CEF">
              <w:rPr>
                <w:noProof/>
                <w:webHidden/>
              </w:rPr>
              <w:fldChar w:fldCharType="separate"/>
            </w:r>
            <w:r w:rsidR="001F0CEF">
              <w:rPr>
                <w:noProof/>
                <w:webHidden/>
              </w:rPr>
              <w:t>3</w:t>
            </w:r>
            <w:r w:rsidR="001F0CEF">
              <w:rPr>
                <w:noProof/>
                <w:webHidden/>
              </w:rPr>
              <w:fldChar w:fldCharType="end"/>
            </w:r>
          </w:hyperlink>
        </w:p>
        <w:p w14:paraId="61A2124A" w14:textId="7842940C" w:rsidR="001F0CEF" w:rsidRDefault="00DA5DA6">
          <w:pPr>
            <w:pStyle w:val="TM2"/>
            <w:tabs>
              <w:tab w:val="left" w:pos="880"/>
              <w:tab w:val="right" w:leader="dot" w:pos="9060"/>
            </w:tabs>
            <w:rPr>
              <w:rFonts w:asciiTheme="minorHAnsi" w:eastAsiaTheme="minorEastAsia" w:hAnsiTheme="minorHAnsi"/>
              <w:noProof/>
              <w:sz w:val="22"/>
              <w:lang w:val="fr-BE" w:eastAsia="fr-BE"/>
            </w:rPr>
          </w:pPr>
          <w:hyperlink w:anchor="_Toc103007698" w:history="1">
            <w:r w:rsidR="001F0CEF" w:rsidRPr="00420FD6">
              <w:rPr>
                <w:rStyle w:val="Lienhypertexte"/>
                <w:noProof/>
              </w:rPr>
              <w:t>5.2</w:t>
            </w:r>
            <w:r w:rsidR="001F0CEF">
              <w:rPr>
                <w:rFonts w:asciiTheme="minorHAnsi" w:eastAsiaTheme="minorEastAsia" w:hAnsiTheme="minorHAnsi"/>
                <w:noProof/>
                <w:sz w:val="22"/>
                <w:lang w:val="fr-BE" w:eastAsia="fr-BE"/>
              </w:rPr>
              <w:tab/>
            </w:r>
            <w:r w:rsidR="001F0CEF" w:rsidRPr="00420FD6">
              <w:rPr>
                <w:rStyle w:val="Lienhypertexte"/>
                <w:noProof/>
              </w:rPr>
              <w:t>Fait punissable en dehors de l'hôpital - patient auteur ou victime</w:t>
            </w:r>
            <w:r w:rsidR="001F0CEF">
              <w:rPr>
                <w:noProof/>
                <w:webHidden/>
              </w:rPr>
              <w:tab/>
            </w:r>
            <w:r w:rsidR="001F0CEF">
              <w:rPr>
                <w:noProof/>
                <w:webHidden/>
              </w:rPr>
              <w:fldChar w:fldCharType="begin"/>
            </w:r>
            <w:r w:rsidR="001F0CEF">
              <w:rPr>
                <w:noProof/>
                <w:webHidden/>
              </w:rPr>
              <w:instrText xml:space="preserve"> PAGEREF _Toc103007698 \h </w:instrText>
            </w:r>
            <w:r w:rsidR="001F0CEF">
              <w:rPr>
                <w:noProof/>
                <w:webHidden/>
              </w:rPr>
            </w:r>
            <w:r w:rsidR="001F0CEF">
              <w:rPr>
                <w:noProof/>
                <w:webHidden/>
              </w:rPr>
              <w:fldChar w:fldCharType="separate"/>
            </w:r>
            <w:r w:rsidR="001F0CEF">
              <w:rPr>
                <w:noProof/>
                <w:webHidden/>
              </w:rPr>
              <w:t>3</w:t>
            </w:r>
            <w:r w:rsidR="001F0CEF">
              <w:rPr>
                <w:noProof/>
                <w:webHidden/>
              </w:rPr>
              <w:fldChar w:fldCharType="end"/>
            </w:r>
          </w:hyperlink>
        </w:p>
        <w:p w14:paraId="21A49D91" w14:textId="25C8F81F" w:rsidR="001F0CEF" w:rsidRDefault="00DA5DA6">
          <w:pPr>
            <w:pStyle w:val="TM3"/>
            <w:tabs>
              <w:tab w:val="left" w:pos="1320"/>
              <w:tab w:val="right" w:leader="dot" w:pos="9060"/>
            </w:tabs>
            <w:rPr>
              <w:rFonts w:asciiTheme="minorHAnsi" w:eastAsiaTheme="minorEastAsia" w:hAnsiTheme="minorHAnsi"/>
              <w:noProof/>
              <w:sz w:val="22"/>
              <w:lang w:val="fr-BE" w:eastAsia="fr-BE"/>
            </w:rPr>
          </w:pPr>
          <w:hyperlink w:anchor="_Toc103007699" w:history="1">
            <w:r w:rsidR="001F0CEF" w:rsidRPr="00420FD6">
              <w:rPr>
                <w:rStyle w:val="Lienhypertexte"/>
                <w:noProof/>
              </w:rPr>
              <w:t>5.2.1</w:t>
            </w:r>
            <w:r w:rsidR="001F0CEF">
              <w:rPr>
                <w:rFonts w:asciiTheme="minorHAnsi" w:eastAsiaTheme="minorEastAsia" w:hAnsiTheme="minorHAnsi"/>
                <w:noProof/>
                <w:sz w:val="22"/>
                <w:lang w:val="fr-BE" w:eastAsia="fr-BE"/>
              </w:rPr>
              <w:tab/>
            </w:r>
            <w:r w:rsidR="001F0CEF" w:rsidRPr="00420FD6">
              <w:rPr>
                <w:rStyle w:val="Lienhypertexte"/>
                <w:noProof/>
              </w:rPr>
              <w:t>Sur le plan médico-légal</w:t>
            </w:r>
            <w:r w:rsidR="001F0CEF">
              <w:rPr>
                <w:noProof/>
                <w:webHidden/>
              </w:rPr>
              <w:tab/>
            </w:r>
            <w:r w:rsidR="001F0CEF">
              <w:rPr>
                <w:noProof/>
                <w:webHidden/>
              </w:rPr>
              <w:fldChar w:fldCharType="begin"/>
            </w:r>
            <w:r w:rsidR="001F0CEF">
              <w:rPr>
                <w:noProof/>
                <w:webHidden/>
              </w:rPr>
              <w:instrText xml:space="preserve"> PAGEREF _Toc103007699 \h </w:instrText>
            </w:r>
            <w:r w:rsidR="001F0CEF">
              <w:rPr>
                <w:noProof/>
                <w:webHidden/>
              </w:rPr>
            </w:r>
            <w:r w:rsidR="001F0CEF">
              <w:rPr>
                <w:noProof/>
                <w:webHidden/>
              </w:rPr>
              <w:fldChar w:fldCharType="separate"/>
            </w:r>
            <w:r w:rsidR="001F0CEF">
              <w:rPr>
                <w:noProof/>
                <w:webHidden/>
              </w:rPr>
              <w:t>3</w:t>
            </w:r>
            <w:r w:rsidR="001F0CEF">
              <w:rPr>
                <w:noProof/>
                <w:webHidden/>
              </w:rPr>
              <w:fldChar w:fldCharType="end"/>
            </w:r>
          </w:hyperlink>
        </w:p>
        <w:p w14:paraId="433D80BE" w14:textId="15C2B185" w:rsidR="001F0CEF" w:rsidRDefault="00DA5DA6">
          <w:pPr>
            <w:pStyle w:val="TM3"/>
            <w:tabs>
              <w:tab w:val="left" w:pos="1320"/>
              <w:tab w:val="right" w:leader="dot" w:pos="9060"/>
            </w:tabs>
            <w:rPr>
              <w:rFonts w:asciiTheme="minorHAnsi" w:eastAsiaTheme="minorEastAsia" w:hAnsiTheme="minorHAnsi"/>
              <w:noProof/>
              <w:sz w:val="22"/>
              <w:lang w:val="fr-BE" w:eastAsia="fr-BE"/>
            </w:rPr>
          </w:pPr>
          <w:hyperlink w:anchor="_Toc103007700" w:history="1">
            <w:r w:rsidR="001F0CEF" w:rsidRPr="00420FD6">
              <w:rPr>
                <w:rStyle w:val="Lienhypertexte"/>
                <w:noProof/>
              </w:rPr>
              <w:t>5.2.2</w:t>
            </w:r>
            <w:r w:rsidR="001F0CEF">
              <w:rPr>
                <w:rFonts w:asciiTheme="minorHAnsi" w:eastAsiaTheme="minorEastAsia" w:hAnsiTheme="minorHAnsi"/>
                <w:noProof/>
                <w:sz w:val="22"/>
                <w:lang w:val="fr-BE" w:eastAsia="fr-BE"/>
              </w:rPr>
              <w:tab/>
            </w:r>
            <w:r w:rsidR="001F0CEF" w:rsidRPr="00420FD6">
              <w:rPr>
                <w:rStyle w:val="Lienhypertexte"/>
                <w:noProof/>
              </w:rPr>
              <w:t>Organes de soutien contre la violence</w:t>
            </w:r>
            <w:r w:rsidR="001F0CEF">
              <w:rPr>
                <w:noProof/>
                <w:webHidden/>
              </w:rPr>
              <w:tab/>
            </w:r>
            <w:r w:rsidR="001F0CEF">
              <w:rPr>
                <w:noProof/>
                <w:webHidden/>
              </w:rPr>
              <w:fldChar w:fldCharType="begin"/>
            </w:r>
            <w:r w:rsidR="001F0CEF">
              <w:rPr>
                <w:noProof/>
                <w:webHidden/>
              </w:rPr>
              <w:instrText xml:space="preserve"> PAGEREF _Toc103007700 \h </w:instrText>
            </w:r>
            <w:r w:rsidR="001F0CEF">
              <w:rPr>
                <w:noProof/>
                <w:webHidden/>
              </w:rPr>
            </w:r>
            <w:r w:rsidR="001F0CEF">
              <w:rPr>
                <w:noProof/>
                <w:webHidden/>
              </w:rPr>
              <w:fldChar w:fldCharType="separate"/>
            </w:r>
            <w:r w:rsidR="001F0CEF">
              <w:rPr>
                <w:noProof/>
                <w:webHidden/>
              </w:rPr>
              <w:t>4</w:t>
            </w:r>
            <w:r w:rsidR="001F0CEF">
              <w:rPr>
                <w:noProof/>
                <w:webHidden/>
              </w:rPr>
              <w:fldChar w:fldCharType="end"/>
            </w:r>
          </w:hyperlink>
        </w:p>
        <w:p w14:paraId="2980D44A" w14:textId="5CAB7EFE" w:rsidR="001F0CEF" w:rsidRDefault="00DA5DA6">
          <w:pPr>
            <w:pStyle w:val="TM2"/>
            <w:tabs>
              <w:tab w:val="left" w:pos="880"/>
              <w:tab w:val="right" w:leader="dot" w:pos="9060"/>
            </w:tabs>
            <w:rPr>
              <w:rFonts w:asciiTheme="minorHAnsi" w:eastAsiaTheme="minorEastAsia" w:hAnsiTheme="minorHAnsi"/>
              <w:noProof/>
              <w:sz w:val="22"/>
              <w:lang w:val="fr-BE" w:eastAsia="fr-BE"/>
            </w:rPr>
          </w:pPr>
          <w:hyperlink w:anchor="_Toc103007701" w:history="1">
            <w:r w:rsidR="001F0CEF" w:rsidRPr="00420FD6">
              <w:rPr>
                <w:rStyle w:val="Lienhypertexte"/>
                <w:noProof/>
              </w:rPr>
              <w:t>5.3</w:t>
            </w:r>
            <w:r w:rsidR="001F0CEF">
              <w:rPr>
                <w:rFonts w:asciiTheme="minorHAnsi" w:eastAsiaTheme="minorEastAsia" w:hAnsiTheme="minorHAnsi"/>
                <w:noProof/>
                <w:sz w:val="22"/>
                <w:lang w:val="fr-BE" w:eastAsia="fr-BE"/>
              </w:rPr>
              <w:tab/>
            </w:r>
            <w:r w:rsidR="001F0CEF" w:rsidRPr="00420FD6">
              <w:rPr>
                <w:rStyle w:val="Lienhypertexte"/>
                <w:noProof/>
              </w:rPr>
              <w:t>Patient porteur de stupéfiants – d’armes</w:t>
            </w:r>
            <w:r w:rsidR="001F0CEF">
              <w:rPr>
                <w:noProof/>
                <w:webHidden/>
              </w:rPr>
              <w:tab/>
            </w:r>
            <w:r w:rsidR="001F0CEF">
              <w:rPr>
                <w:noProof/>
                <w:webHidden/>
              </w:rPr>
              <w:fldChar w:fldCharType="begin"/>
            </w:r>
            <w:r w:rsidR="001F0CEF">
              <w:rPr>
                <w:noProof/>
                <w:webHidden/>
              </w:rPr>
              <w:instrText xml:space="preserve"> PAGEREF _Toc103007701 \h </w:instrText>
            </w:r>
            <w:r w:rsidR="001F0CEF">
              <w:rPr>
                <w:noProof/>
                <w:webHidden/>
              </w:rPr>
            </w:r>
            <w:r w:rsidR="001F0CEF">
              <w:rPr>
                <w:noProof/>
                <w:webHidden/>
              </w:rPr>
              <w:fldChar w:fldCharType="separate"/>
            </w:r>
            <w:r w:rsidR="001F0CEF">
              <w:rPr>
                <w:noProof/>
                <w:webHidden/>
              </w:rPr>
              <w:t>4</w:t>
            </w:r>
            <w:r w:rsidR="001F0CEF">
              <w:rPr>
                <w:noProof/>
                <w:webHidden/>
              </w:rPr>
              <w:fldChar w:fldCharType="end"/>
            </w:r>
          </w:hyperlink>
        </w:p>
        <w:p w14:paraId="4E5CD780" w14:textId="2A764CBC" w:rsidR="001F0CEF" w:rsidRDefault="00DA5DA6">
          <w:pPr>
            <w:pStyle w:val="TM2"/>
            <w:tabs>
              <w:tab w:val="left" w:pos="880"/>
              <w:tab w:val="right" w:leader="dot" w:pos="9060"/>
            </w:tabs>
            <w:rPr>
              <w:rFonts w:asciiTheme="minorHAnsi" w:eastAsiaTheme="minorEastAsia" w:hAnsiTheme="minorHAnsi"/>
              <w:noProof/>
              <w:sz w:val="22"/>
              <w:lang w:val="fr-BE" w:eastAsia="fr-BE"/>
            </w:rPr>
          </w:pPr>
          <w:hyperlink w:anchor="_Toc103007702" w:history="1">
            <w:r w:rsidR="001F0CEF" w:rsidRPr="00420FD6">
              <w:rPr>
                <w:rStyle w:val="Lienhypertexte"/>
                <w:noProof/>
              </w:rPr>
              <w:t>5.4</w:t>
            </w:r>
            <w:r w:rsidR="001F0CEF">
              <w:rPr>
                <w:rFonts w:asciiTheme="minorHAnsi" w:eastAsiaTheme="minorEastAsia" w:hAnsiTheme="minorHAnsi"/>
                <w:noProof/>
                <w:sz w:val="22"/>
                <w:lang w:val="fr-BE" w:eastAsia="fr-BE"/>
              </w:rPr>
              <w:tab/>
            </w:r>
            <w:r w:rsidR="001F0CEF" w:rsidRPr="00420FD6">
              <w:rPr>
                <w:rStyle w:val="Lienhypertexte"/>
                <w:noProof/>
              </w:rPr>
              <w:t>Patient sous surveillance policière</w:t>
            </w:r>
            <w:r w:rsidR="001F0CEF">
              <w:rPr>
                <w:noProof/>
                <w:webHidden/>
              </w:rPr>
              <w:tab/>
            </w:r>
            <w:r w:rsidR="001F0CEF">
              <w:rPr>
                <w:noProof/>
                <w:webHidden/>
              </w:rPr>
              <w:fldChar w:fldCharType="begin"/>
            </w:r>
            <w:r w:rsidR="001F0CEF">
              <w:rPr>
                <w:noProof/>
                <w:webHidden/>
              </w:rPr>
              <w:instrText xml:space="preserve"> PAGEREF _Toc103007702 \h </w:instrText>
            </w:r>
            <w:r w:rsidR="001F0CEF">
              <w:rPr>
                <w:noProof/>
                <w:webHidden/>
              </w:rPr>
            </w:r>
            <w:r w:rsidR="001F0CEF">
              <w:rPr>
                <w:noProof/>
                <w:webHidden/>
              </w:rPr>
              <w:fldChar w:fldCharType="separate"/>
            </w:r>
            <w:r w:rsidR="001F0CEF">
              <w:rPr>
                <w:noProof/>
                <w:webHidden/>
              </w:rPr>
              <w:t>4</w:t>
            </w:r>
            <w:r w:rsidR="001F0CEF">
              <w:rPr>
                <w:noProof/>
                <w:webHidden/>
              </w:rPr>
              <w:fldChar w:fldCharType="end"/>
            </w:r>
          </w:hyperlink>
        </w:p>
        <w:p w14:paraId="5AC42151" w14:textId="4B50E6B2" w:rsidR="001F0CEF" w:rsidRDefault="00DA5DA6">
          <w:pPr>
            <w:pStyle w:val="TM2"/>
            <w:tabs>
              <w:tab w:val="left" w:pos="880"/>
              <w:tab w:val="right" w:leader="dot" w:pos="9060"/>
            </w:tabs>
            <w:rPr>
              <w:rFonts w:asciiTheme="minorHAnsi" w:eastAsiaTheme="minorEastAsia" w:hAnsiTheme="minorHAnsi"/>
              <w:noProof/>
              <w:sz w:val="22"/>
              <w:lang w:val="fr-BE" w:eastAsia="fr-BE"/>
            </w:rPr>
          </w:pPr>
          <w:hyperlink w:anchor="_Toc103007703" w:history="1">
            <w:r w:rsidR="001F0CEF" w:rsidRPr="00420FD6">
              <w:rPr>
                <w:rStyle w:val="Lienhypertexte"/>
                <w:noProof/>
              </w:rPr>
              <w:t>5.5</w:t>
            </w:r>
            <w:r w:rsidR="001F0CEF">
              <w:rPr>
                <w:rFonts w:asciiTheme="minorHAnsi" w:eastAsiaTheme="minorEastAsia" w:hAnsiTheme="minorHAnsi"/>
                <w:noProof/>
                <w:sz w:val="22"/>
                <w:lang w:val="fr-BE" w:eastAsia="fr-BE"/>
              </w:rPr>
              <w:tab/>
            </w:r>
            <w:r w:rsidR="001F0CEF" w:rsidRPr="00420FD6">
              <w:rPr>
                <w:rStyle w:val="Lienhypertexte"/>
                <w:noProof/>
              </w:rPr>
              <w:t>Donner priorité à la police au service des urgences</w:t>
            </w:r>
            <w:r w:rsidR="001F0CEF">
              <w:rPr>
                <w:noProof/>
                <w:webHidden/>
              </w:rPr>
              <w:tab/>
            </w:r>
            <w:r w:rsidR="001F0CEF">
              <w:rPr>
                <w:noProof/>
                <w:webHidden/>
              </w:rPr>
              <w:fldChar w:fldCharType="begin"/>
            </w:r>
            <w:r w:rsidR="001F0CEF">
              <w:rPr>
                <w:noProof/>
                <w:webHidden/>
              </w:rPr>
              <w:instrText xml:space="preserve"> PAGEREF _Toc103007703 \h </w:instrText>
            </w:r>
            <w:r w:rsidR="001F0CEF">
              <w:rPr>
                <w:noProof/>
                <w:webHidden/>
              </w:rPr>
            </w:r>
            <w:r w:rsidR="001F0CEF">
              <w:rPr>
                <w:noProof/>
                <w:webHidden/>
              </w:rPr>
              <w:fldChar w:fldCharType="separate"/>
            </w:r>
            <w:r w:rsidR="001F0CEF">
              <w:rPr>
                <w:noProof/>
                <w:webHidden/>
              </w:rPr>
              <w:t>5</w:t>
            </w:r>
            <w:r w:rsidR="001F0CEF">
              <w:rPr>
                <w:noProof/>
                <w:webHidden/>
              </w:rPr>
              <w:fldChar w:fldCharType="end"/>
            </w:r>
          </w:hyperlink>
        </w:p>
        <w:p w14:paraId="313EF5C5" w14:textId="003D0038" w:rsidR="001F0CEF" w:rsidRDefault="00DA5DA6">
          <w:pPr>
            <w:pStyle w:val="TM2"/>
            <w:tabs>
              <w:tab w:val="left" w:pos="880"/>
              <w:tab w:val="right" w:leader="dot" w:pos="9060"/>
            </w:tabs>
            <w:rPr>
              <w:rFonts w:asciiTheme="minorHAnsi" w:eastAsiaTheme="minorEastAsia" w:hAnsiTheme="minorHAnsi"/>
              <w:noProof/>
              <w:sz w:val="22"/>
              <w:lang w:val="fr-BE" w:eastAsia="fr-BE"/>
            </w:rPr>
          </w:pPr>
          <w:hyperlink w:anchor="_Toc103007704" w:history="1">
            <w:r w:rsidR="001F0CEF" w:rsidRPr="00420FD6">
              <w:rPr>
                <w:rStyle w:val="Lienhypertexte"/>
                <w:noProof/>
              </w:rPr>
              <w:t>5.6</w:t>
            </w:r>
            <w:r w:rsidR="001F0CEF">
              <w:rPr>
                <w:rFonts w:asciiTheme="minorHAnsi" w:eastAsiaTheme="minorEastAsia" w:hAnsiTheme="minorHAnsi"/>
                <w:noProof/>
                <w:sz w:val="22"/>
                <w:lang w:val="fr-BE" w:eastAsia="fr-BE"/>
              </w:rPr>
              <w:tab/>
            </w:r>
            <w:r w:rsidR="001F0CEF" w:rsidRPr="00420FD6">
              <w:rPr>
                <w:rStyle w:val="Lienhypertexte"/>
                <w:noProof/>
              </w:rPr>
              <w:t>La police pénètre dans l'hôpital</w:t>
            </w:r>
            <w:r w:rsidR="001F0CEF">
              <w:rPr>
                <w:noProof/>
                <w:webHidden/>
              </w:rPr>
              <w:tab/>
            </w:r>
            <w:r w:rsidR="001F0CEF">
              <w:rPr>
                <w:noProof/>
                <w:webHidden/>
              </w:rPr>
              <w:fldChar w:fldCharType="begin"/>
            </w:r>
            <w:r w:rsidR="001F0CEF">
              <w:rPr>
                <w:noProof/>
                <w:webHidden/>
              </w:rPr>
              <w:instrText xml:space="preserve"> PAGEREF _Toc103007704 \h </w:instrText>
            </w:r>
            <w:r w:rsidR="001F0CEF">
              <w:rPr>
                <w:noProof/>
                <w:webHidden/>
              </w:rPr>
            </w:r>
            <w:r w:rsidR="001F0CEF">
              <w:rPr>
                <w:noProof/>
                <w:webHidden/>
              </w:rPr>
              <w:fldChar w:fldCharType="separate"/>
            </w:r>
            <w:r w:rsidR="001F0CEF">
              <w:rPr>
                <w:noProof/>
                <w:webHidden/>
              </w:rPr>
              <w:t>5</w:t>
            </w:r>
            <w:r w:rsidR="001F0CEF">
              <w:rPr>
                <w:noProof/>
                <w:webHidden/>
              </w:rPr>
              <w:fldChar w:fldCharType="end"/>
            </w:r>
          </w:hyperlink>
        </w:p>
        <w:p w14:paraId="57675C22" w14:textId="60666D67" w:rsidR="001F0CEF" w:rsidRDefault="00DA5DA6">
          <w:pPr>
            <w:pStyle w:val="TM2"/>
            <w:tabs>
              <w:tab w:val="left" w:pos="880"/>
              <w:tab w:val="right" w:leader="dot" w:pos="9060"/>
            </w:tabs>
            <w:rPr>
              <w:rFonts w:asciiTheme="minorHAnsi" w:eastAsiaTheme="minorEastAsia" w:hAnsiTheme="minorHAnsi"/>
              <w:noProof/>
              <w:sz w:val="22"/>
              <w:lang w:val="fr-BE" w:eastAsia="fr-BE"/>
            </w:rPr>
          </w:pPr>
          <w:hyperlink w:anchor="_Toc103007705" w:history="1">
            <w:r w:rsidR="001F0CEF" w:rsidRPr="00420FD6">
              <w:rPr>
                <w:rStyle w:val="Lienhypertexte"/>
                <w:noProof/>
              </w:rPr>
              <w:t>5.7</w:t>
            </w:r>
            <w:r w:rsidR="001F0CEF">
              <w:rPr>
                <w:rFonts w:asciiTheme="minorHAnsi" w:eastAsiaTheme="minorEastAsia" w:hAnsiTheme="minorHAnsi"/>
                <w:noProof/>
                <w:sz w:val="22"/>
                <w:lang w:val="fr-BE" w:eastAsia="fr-BE"/>
              </w:rPr>
              <w:tab/>
            </w:r>
            <w:r w:rsidR="001F0CEF" w:rsidRPr="00420FD6">
              <w:rPr>
                <w:rStyle w:val="Lienhypertexte"/>
                <w:noProof/>
              </w:rPr>
              <w:t>La police demande des informations</w:t>
            </w:r>
            <w:r w:rsidR="001F0CEF">
              <w:rPr>
                <w:noProof/>
                <w:webHidden/>
              </w:rPr>
              <w:tab/>
            </w:r>
            <w:r w:rsidR="001F0CEF">
              <w:rPr>
                <w:noProof/>
                <w:webHidden/>
              </w:rPr>
              <w:fldChar w:fldCharType="begin"/>
            </w:r>
            <w:r w:rsidR="001F0CEF">
              <w:rPr>
                <w:noProof/>
                <w:webHidden/>
              </w:rPr>
              <w:instrText xml:space="preserve"> PAGEREF _Toc103007705 \h </w:instrText>
            </w:r>
            <w:r w:rsidR="001F0CEF">
              <w:rPr>
                <w:noProof/>
                <w:webHidden/>
              </w:rPr>
            </w:r>
            <w:r w:rsidR="001F0CEF">
              <w:rPr>
                <w:noProof/>
                <w:webHidden/>
              </w:rPr>
              <w:fldChar w:fldCharType="separate"/>
            </w:r>
            <w:r w:rsidR="001F0CEF">
              <w:rPr>
                <w:noProof/>
                <w:webHidden/>
              </w:rPr>
              <w:t>5</w:t>
            </w:r>
            <w:r w:rsidR="001F0CEF">
              <w:rPr>
                <w:noProof/>
                <w:webHidden/>
              </w:rPr>
              <w:fldChar w:fldCharType="end"/>
            </w:r>
          </w:hyperlink>
        </w:p>
        <w:p w14:paraId="33466ED3" w14:textId="4D38CD6A" w:rsidR="001F0CEF" w:rsidRDefault="00DA5DA6">
          <w:pPr>
            <w:pStyle w:val="TM2"/>
            <w:tabs>
              <w:tab w:val="left" w:pos="880"/>
              <w:tab w:val="right" w:leader="dot" w:pos="9060"/>
            </w:tabs>
            <w:rPr>
              <w:rFonts w:asciiTheme="minorHAnsi" w:eastAsiaTheme="minorEastAsia" w:hAnsiTheme="minorHAnsi"/>
              <w:noProof/>
              <w:sz w:val="22"/>
              <w:lang w:val="fr-BE" w:eastAsia="fr-BE"/>
            </w:rPr>
          </w:pPr>
          <w:hyperlink w:anchor="_Toc103007706" w:history="1">
            <w:r w:rsidR="001F0CEF" w:rsidRPr="00420FD6">
              <w:rPr>
                <w:rStyle w:val="Lienhypertexte"/>
                <w:noProof/>
              </w:rPr>
              <w:t>5.8</w:t>
            </w:r>
            <w:r w:rsidR="001F0CEF">
              <w:rPr>
                <w:rFonts w:asciiTheme="minorHAnsi" w:eastAsiaTheme="minorEastAsia" w:hAnsiTheme="minorHAnsi"/>
                <w:noProof/>
                <w:sz w:val="22"/>
                <w:lang w:val="fr-BE" w:eastAsia="fr-BE"/>
              </w:rPr>
              <w:tab/>
            </w:r>
            <w:r w:rsidR="001F0CEF" w:rsidRPr="00420FD6">
              <w:rPr>
                <w:rStyle w:val="Lienhypertexte"/>
                <w:noProof/>
              </w:rPr>
              <w:t>Interrogatoire à l'hôpital</w:t>
            </w:r>
            <w:r w:rsidR="001F0CEF">
              <w:rPr>
                <w:noProof/>
                <w:webHidden/>
              </w:rPr>
              <w:tab/>
            </w:r>
            <w:r w:rsidR="001F0CEF">
              <w:rPr>
                <w:noProof/>
                <w:webHidden/>
              </w:rPr>
              <w:fldChar w:fldCharType="begin"/>
            </w:r>
            <w:r w:rsidR="001F0CEF">
              <w:rPr>
                <w:noProof/>
                <w:webHidden/>
              </w:rPr>
              <w:instrText xml:space="preserve"> PAGEREF _Toc103007706 \h </w:instrText>
            </w:r>
            <w:r w:rsidR="001F0CEF">
              <w:rPr>
                <w:noProof/>
                <w:webHidden/>
              </w:rPr>
            </w:r>
            <w:r w:rsidR="001F0CEF">
              <w:rPr>
                <w:noProof/>
                <w:webHidden/>
              </w:rPr>
              <w:fldChar w:fldCharType="separate"/>
            </w:r>
            <w:r w:rsidR="001F0CEF">
              <w:rPr>
                <w:noProof/>
                <w:webHidden/>
              </w:rPr>
              <w:t>6</w:t>
            </w:r>
            <w:r w:rsidR="001F0CEF">
              <w:rPr>
                <w:noProof/>
                <w:webHidden/>
              </w:rPr>
              <w:fldChar w:fldCharType="end"/>
            </w:r>
          </w:hyperlink>
        </w:p>
        <w:p w14:paraId="301672C3" w14:textId="0537D040" w:rsidR="001F0CEF" w:rsidRDefault="00DA5DA6">
          <w:pPr>
            <w:pStyle w:val="TM2"/>
            <w:tabs>
              <w:tab w:val="left" w:pos="880"/>
              <w:tab w:val="right" w:leader="dot" w:pos="9060"/>
            </w:tabs>
            <w:rPr>
              <w:rFonts w:asciiTheme="minorHAnsi" w:eastAsiaTheme="minorEastAsia" w:hAnsiTheme="minorHAnsi"/>
              <w:noProof/>
              <w:sz w:val="22"/>
              <w:lang w:val="fr-BE" w:eastAsia="fr-BE"/>
            </w:rPr>
          </w:pPr>
          <w:hyperlink w:anchor="_Toc103007707" w:history="1">
            <w:r w:rsidR="001F0CEF" w:rsidRPr="00420FD6">
              <w:rPr>
                <w:rStyle w:val="Lienhypertexte"/>
                <w:noProof/>
              </w:rPr>
              <w:t>5.9</w:t>
            </w:r>
            <w:r w:rsidR="001F0CEF">
              <w:rPr>
                <w:rFonts w:asciiTheme="minorHAnsi" w:eastAsiaTheme="minorEastAsia" w:hAnsiTheme="minorHAnsi"/>
                <w:noProof/>
                <w:sz w:val="22"/>
                <w:lang w:val="fr-BE" w:eastAsia="fr-BE"/>
              </w:rPr>
              <w:tab/>
            </w:r>
            <w:r w:rsidR="001F0CEF" w:rsidRPr="00420FD6">
              <w:rPr>
                <w:rStyle w:val="Lienhypertexte"/>
                <w:noProof/>
              </w:rPr>
              <w:t>Personnes disparues</w:t>
            </w:r>
            <w:r w:rsidR="001F0CEF">
              <w:rPr>
                <w:noProof/>
                <w:webHidden/>
              </w:rPr>
              <w:tab/>
            </w:r>
            <w:r w:rsidR="001F0CEF">
              <w:rPr>
                <w:noProof/>
                <w:webHidden/>
              </w:rPr>
              <w:fldChar w:fldCharType="begin"/>
            </w:r>
            <w:r w:rsidR="001F0CEF">
              <w:rPr>
                <w:noProof/>
                <w:webHidden/>
              </w:rPr>
              <w:instrText xml:space="preserve"> PAGEREF _Toc103007707 \h </w:instrText>
            </w:r>
            <w:r w:rsidR="001F0CEF">
              <w:rPr>
                <w:noProof/>
                <w:webHidden/>
              </w:rPr>
            </w:r>
            <w:r w:rsidR="001F0CEF">
              <w:rPr>
                <w:noProof/>
                <w:webHidden/>
              </w:rPr>
              <w:fldChar w:fldCharType="separate"/>
            </w:r>
            <w:r w:rsidR="001F0CEF">
              <w:rPr>
                <w:noProof/>
                <w:webHidden/>
              </w:rPr>
              <w:t>6</w:t>
            </w:r>
            <w:r w:rsidR="001F0CEF">
              <w:rPr>
                <w:noProof/>
                <w:webHidden/>
              </w:rPr>
              <w:fldChar w:fldCharType="end"/>
            </w:r>
          </w:hyperlink>
        </w:p>
        <w:p w14:paraId="683D8212" w14:textId="4DFCEBA4" w:rsidR="001F0CEF" w:rsidRDefault="00DA5DA6">
          <w:pPr>
            <w:pStyle w:val="TM3"/>
            <w:tabs>
              <w:tab w:val="left" w:pos="1320"/>
              <w:tab w:val="right" w:leader="dot" w:pos="9060"/>
            </w:tabs>
            <w:rPr>
              <w:rFonts w:asciiTheme="minorHAnsi" w:eastAsiaTheme="minorEastAsia" w:hAnsiTheme="minorHAnsi"/>
              <w:noProof/>
              <w:sz w:val="22"/>
              <w:lang w:val="fr-BE" w:eastAsia="fr-BE"/>
            </w:rPr>
          </w:pPr>
          <w:hyperlink w:anchor="_Toc103007708" w:history="1">
            <w:r w:rsidR="001F0CEF" w:rsidRPr="00420FD6">
              <w:rPr>
                <w:rStyle w:val="Lienhypertexte"/>
                <w:noProof/>
              </w:rPr>
              <w:t>5.9.1</w:t>
            </w:r>
            <w:r w:rsidR="001F0CEF">
              <w:rPr>
                <w:rFonts w:asciiTheme="minorHAnsi" w:eastAsiaTheme="minorEastAsia" w:hAnsiTheme="minorHAnsi"/>
                <w:noProof/>
                <w:sz w:val="22"/>
                <w:lang w:val="fr-BE" w:eastAsia="fr-BE"/>
              </w:rPr>
              <w:tab/>
            </w:r>
            <w:r w:rsidR="001F0CEF" w:rsidRPr="00420FD6">
              <w:rPr>
                <w:rStyle w:val="Lienhypertexte"/>
                <w:noProof/>
              </w:rPr>
              <w:t>Appréciation du caractère « inquiétant » de la disparition</w:t>
            </w:r>
            <w:r w:rsidR="001F0CEF">
              <w:rPr>
                <w:noProof/>
                <w:webHidden/>
              </w:rPr>
              <w:tab/>
            </w:r>
            <w:r w:rsidR="001F0CEF">
              <w:rPr>
                <w:noProof/>
                <w:webHidden/>
              </w:rPr>
              <w:fldChar w:fldCharType="begin"/>
            </w:r>
            <w:r w:rsidR="001F0CEF">
              <w:rPr>
                <w:noProof/>
                <w:webHidden/>
              </w:rPr>
              <w:instrText xml:space="preserve"> PAGEREF _Toc103007708 \h </w:instrText>
            </w:r>
            <w:r w:rsidR="001F0CEF">
              <w:rPr>
                <w:noProof/>
                <w:webHidden/>
              </w:rPr>
            </w:r>
            <w:r w:rsidR="001F0CEF">
              <w:rPr>
                <w:noProof/>
                <w:webHidden/>
              </w:rPr>
              <w:fldChar w:fldCharType="separate"/>
            </w:r>
            <w:r w:rsidR="001F0CEF">
              <w:rPr>
                <w:noProof/>
                <w:webHidden/>
              </w:rPr>
              <w:t>6</w:t>
            </w:r>
            <w:r w:rsidR="001F0CEF">
              <w:rPr>
                <w:noProof/>
                <w:webHidden/>
              </w:rPr>
              <w:fldChar w:fldCharType="end"/>
            </w:r>
          </w:hyperlink>
        </w:p>
        <w:p w14:paraId="1AB3E793" w14:textId="62DA4BB7" w:rsidR="001F0CEF" w:rsidRDefault="00DA5DA6">
          <w:pPr>
            <w:pStyle w:val="TM3"/>
            <w:tabs>
              <w:tab w:val="left" w:pos="1320"/>
              <w:tab w:val="right" w:leader="dot" w:pos="9060"/>
            </w:tabs>
            <w:rPr>
              <w:rFonts w:asciiTheme="minorHAnsi" w:eastAsiaTheme="minorEastAsia" w:hAnsiTheme="minorHAnsi"/>
              <w:noProof/>
              <w:sz w:val="22"/>
              <w:lang w:val="fr-BE" w:eastAsia="fr-BE"/>
            </w:rPr>
          </w:pPr>
          <w:hyperlink w:anchor="_Toc103007709" w:history="1">
            <w:r w:rsidR="001F0CEF" w:rsidRPr="00420FD6">
              <w:rPr>
                <w:rStyle w:val="Lienhypertexte"/>
                <w:noProof/>
              </w:rPr>
              <w:t>5.9.2</w:t>
            </w:r>
            <w:r w:rsidR="001F0CEF">
              <w:rPr>
                <w:rFonts w:asciiTheme="minorHAnsi" w:eastAsiaTheme="minorEastAsia" w:hAnsiTheme="minorHAnsi"/>
                <w:noProof/>
                <w:sz w:val="22"/>
                <w:lang w:val="fr-BE" w:eastAsia="fr-BE"/>
              </w:rPr>
              <w:tab/>
            </w:r>
            <w:r w:rsidR="001F0CEF" w:rsidRPr="00420FD6">
              <w:rPr>
                <w:rStyle w:val="Lienhypertexte"/>
                <w:noProof/>
              </w:rPr>
              <w:t>Recherche du patient</w:t>
            </w:r>
            <w:r w:rsidR="001F0CEF">
              <w:rPr>
                <w:noProof/>
                <w:webHidden/>
              </w:rPr>
              <w:tab/>
            </w:r>
            <w:r w:rsidR="001F0CEF">
              <w:rPr>
                <w:noProof/>
                <w:webHidden/>
              </w:rPr>
              <w:fldChar w:fldCharType="begin"/>
            </w:r>
            <w:r w:rsidR="001F0CEF">
              <w:rPr>
                <w:noProof/>
                <w:webHidden/>
              </w:rPr>
              <w:instrText xml:space="preserve"> PAGEREF _Toc103007709 \h </w:instrText>
            </w:r>
            <w:r w:rsidR="001F0CEF">
              <w:rPr>
                <w:noProof/>
                <w:webHidden/>
              </w:rPr>
            </w:r>
            <w:r w:rsidR="001F0CEF">
              <w:rPr>
                <w:noProof/>
                <w:webHidden/>
              </w:rPr>
              <w:fldChar w:fldCharType="separate"/>
            </w:r>
            <w:r w:rsidR="001F0CEF">
              <w:rPr>
                <w:noProof/>
                <w:webHidden/>
              </w:rPr>
              <w:t>6</w:t>
            </w:r>
            <w:r w:rsidR="001F0CEF">
              <w:rPr>
                <w:noProof/>
                <w:webHidden/>
              </w:rPr>
              <w:fldChar w:fldCharType="end"/>
            </w:r>
          </w:hyperlink>
        </w:p>
        <w:p w14:paraId="02C7AF9F" w14:textId="5400E3C9" w:rsidR="001F0CEF" w:rsidRDefault="00DA5DA6">
          <w:pPr>
            <w:pStyle w:val="TM3"/>
            <w:tabs>
              <w:tab w:val="left" w:pos="1320"/>
              <w:tab w:val="right" w:leader="dot" w:pos="9060"/>
            </w:tabs>
            <w:rPr>
              <w:rFonts w:asciiTheme="minorHAnsi" w:eastAsiaTheme="minorEastAsia" w:hAnsiTheme="minorHAnsi"/>
              <w:noProof/>
              <w:sz w:val="22"/>
              <w:lang w:val="fr-BE" w:eastAsia="fr-BE"/>
            </w:rPr>
          </w:pPr>
          <w:hyperlink w:anchor="_Toc103007710" w:history="1">
            <w:r w:rsidR="001F0CEF" w:rsidRPr="00420FD6">
              <w:rPr>
                <w:rStyle w:val="Lienhypertexte"/>
                <w:noProof/>
              </w:rPr>
              <w:t>5.9.3</w:t>
            </w:r>
            <w:r w:rsidR="001F0CEF">
              <w:rPr>
                <w:rFonts w:asciiTheme="minorHAnsi" w:eastAsiaTheme="minorEastAsia" w:hAnsiTheme="minorHAnsi"/>
                <w:noProof/>
                <w:sz w:val="22"/>
                <w:lang w:val="fr-BE" w:eastAsia="fr-BE"/>
              </w:rPr>
              <w:tab/>
            </w:r>
            <w:r w:rsidR="001F0CEF" w:rsidRPr="00420FD6">
              <w:rPr>
                <w:rStyle w:val="Lienhypertexte"/>
                <w:noProof/>
              </w:rPr>
              <w:t>Pour la rédaction d'un dossier ante mortem</w:t>
            </w:r>
            <w:r w:rsidR="001F0CEF">
              <w:rPr>
                <w:noProof/>
                <w:webHidden/>
              </w:rPr>
              <w:tab/>
            </w:r>
            <w:r w:rsidR="001F0CEF">
              <w:rPr>
                <w:noProof/>
                <w:webHidden/>
              </w:rPr>
              <w:fldChar w:fldCharType="begin"/>
            </w:r>
            <w:r w:rsidR="001F0CEF">
              <w:rPr>
                <w:noProof/>
                <w:webHidden/>
              </w:rPr>
              <w:instrText xml:space="preserve"> PAGEREF _Toc103007710 \h </w:instrText>
            </w:r>
            <w:r w:rsidR="001F0CEF">
              <w:rPr>
                <w:noProof/>
                <w:webHidden/>
              </w:rPr>
            </w:r>
            <w:r w:rsidR="001F0CEF">
              <w:rPr>
                <w:noProof/>
                <w:webHidden/>
              </w:rPr>
              <w:fldChar w:fldCharType="separate"/>
            </w:r>
            <w:r w:rsidR="001F0CEF">
              <w:rPr>
                <w:noProof/>
                <w:webHidden/>
              </w:rPr>
              <w:t>7</w:t>
            </w:r>
            <w:r w:rsidR="001F0CEF">
              <w:rPr>
                <w:noProof/>
                <w:webHidden/>
              </w:rPr>
              <w:fldChar w:fldCharType="end"/>
            </w:r>
          </w:hyperlink>
        </w:p>
        <w:p w14:paraId="41A92999" w14:textId="025104A9" w:rsidR="001F0CEF" w:rsidRDefault="00DA5DA6">
          <w:pPr>
            <w:pStyle w:val="TM2"/>
            <w:tabs>
              <w:tab w:val="left" w:pos="1100"/>
              <w:tab w:val="right" w:leader="dot" w:pos="9060"/>
            </w:tabs>
            <w:rPr>
              <w:rFonts w:asciiTheme="minorHAnsi" w:eastAsiaTheme="minorEastAsia" w:hAnsiTheme="minorHAnsi"/>
              <w:noProof/>
              <w:sz w:val="22"/>
              <w:lang w:val="fr-BE" w:eastAsia="fr-BE"/>
            </w:rPr>
          </w:pPr>
          <w:hyperlink w:anchor="_Toc103007711" w:history="1">
            <w:r w:rsidR="001F0CEF" w:rsidRPr="00420FD6">
              <w:rPr>
                <w:rStyle w:val="Lienhypertexte"/>
                <w:noProof/>
              </w:rPr>
              <w:t>5.10</w:t>
            </w:r>
            <w:r w:rsidR="001F0CEF">
              <w:rPr>
                <w:rFonts w:asciiTheme="minorHAnsi" w:eastAsiaTheme="minorEastAsia" w:hAnsiTheme="minorHAnsi"/>
                <w:noProof/>
                <w:sz w:val="22"/>
                <w:lang w:val="fr-BE" w:eastAsia="fr-BE"/>
              </w:rPr>
              <w:tab/>
            </w:r>
            <w:r w:rsidR="001F0CEF" w:rsidRPr="00420FD6">
              <w:rPr>
                <w:rStyle w:val="Lienhypertexte"/>
                <w:noProof/>
              </w:rPr>
              <w:t>Attestation médicale concernant une disposition à l'enfermement</w:t>
            </w:r>
            <w:r w:rsidR="001F0CEF">
              <w:rPr>
                <w:noProof/>
                <w:webHidden/>
              </w:rPr>
              <w:tab/>
            </w:r>
            <w:r w:rsidR="001F0CEF">
              <w:rPr>
                <w:noProof/>
                <w:webHidden/>
              </w:rPr>
              <w:fldChar w:fldCharType="begin"/>
            </w:r>
            <w:r w:rsidR="001F0CEF">
              <w:rPr>
                <w:noProof/>
                <w:webHidden/>
              </w:rPr>
              <w:instrText xml:space="preserve"> PAGEREF _Toc103007711 \h </w:instrText>
            </w:r>
            <w:r w:rsidR="001F0CEF">
              <w:rPr>
                <w:noProof/>
                <w:webHidden/>
              </w:rPr>
            </w:r>
            <w:r w:rsidR="001F0CEF">
              <w:rPr>
                <w:noProof/>
                <w:webHidden/>
              </w:rPr>
              <w:fldChar w:fldCharType="separate"/>
            </w:r>
            <w:r w:rsidR="001F0CEF">
              <w:rPr>
                <w:noProof/>
                <w:webHidden/>
              </w:rPr>
              <w:t>7</w:t>
            </w:r>
            <w:r w:rsidR="001F0CEF">
              <w:rPr>
                <w:noProof/>
                <w:webHidden/>
              </w:rPr>
              <w:fldChar w:fldCharType="end"/>
            </w:r>
          </w:hyperlink>
        </w:p>
        <w:p w14:paraId="11ADAD53" w14:textId="5A196BD5" w:rsidR="001F0CEF" w:rsidRDefault="00DA5DA6">
          <w:pPr>
            <w:pStyle w:val="TM2"/>
            <w:tabs>
              <w:tab w:val="left" w:pos="1100"/>
              <w:tab w:val="right" w:leader="dot" w:pos="9060"/>
            </w:tabs>
            <w:rPr>
              <w:rFonts w:asciiTheme="minorHAnsi" w:eastAsiaTheme="minorEastAsia" w:hAnsiTheme="minorHAnsi"/>
              <w:noProof/>
              <w:sz w:val="22"/>
              <w:lang w:val="fr-BE" w:eastAsia="fr-BE"/>
            </w:rPr>
          </w:pPr>
          <w:hyperlink w:anchor="_Toc103007712" w:history="1">
            <w:r w:rsidR="001F0CEF" w:rsidRPr="00420FD6">
              <w:rPr>
                <w:rStyle w:val="Lienhypertexte"/>
                <w:noProof/>
              </w:rPr>
              <w:t>5.11</w:t>
            </w:r>
            <w:r w:rsidR="001F0CEF">
              <w:rPr>
                <w:rFonts w:asciiTheme="minorHAnsi" w:eastAsiaTheme="minorEastAsia" w:hAnsiTheme="minorHAnsi"/>
                <w:noProof/>
                <w:sz w:val="22"/>
                <w:lang w:val="fr-BE" w:eastAsia="fr-BE"/>
              </w:rPr>
              <w:tab/>
            </w:r>
            <w:r w:rsidR="001F0CEF" w:rsidRPr="00420FD6">
              <w:rPr>
                <w:rStyle w:val="Lienhypertexte"/>
                <w:noProof/>
              </w:rPr>
              <w:t>Moyens légaux soutenant l'information ou l'instruction</w:t>
            </w:r>
            <w:r w:rsidR="001F0CEF">
              <w:rPr>
                <w:noProof/>
                <w:webHidden/>
              </w:rPr>
              <w:tab/>
            </w:r>
            <w:r w:rsidR="001F0CEF">
              <w:rPr>
                <w:noProof/>
                <w:webHidden/>
              </w:rPr>
              <w:fldChar w:fldCharType="begin"/>
            </w:r>
            <w:r w:rsidR="001F0CEF">
              <w:rPr>
                <w:noProof/>
                <w:webHidden/>
              </w:rPr>
              <w:instrText xml:space="preserve"> PAGEREF _Toc103007712 \h </w:instrText>
            </w:r>
            <w:r w:rsidR="001F0CEF">
              <w:rPr>
                <w:noProof/>
                <w:webHidden/>
              </w:rPr>
            </w:r>
            <w:r w:rsidR="001F0CEF">
              <w:rPr>
                <w:noProof/>
                <w:webHidden/>
              </w:rPr>
              <w:fldChar w:fldCharType="separate"/>
            </w:r>
            <w:r w:rsidR="001F0CEF">
              <w:rPr>
                <w:noProof/>
                <w:webHidden/>
              </w:rPr>
              <w:t>7</w:t>
            </w:r>
            <w:r w:rsidR="001F0CEF">
              <w:rPr>
                <w:noProof/>
                <w:webHidden/>
              </w:rPr>
              <w:fldChar w:fldCharType="end"/>
            </w:r>
          </w:hyperlink>
        </w:p>
        <w:p w14:paraId="4EDF125B" w14:textId="2879D044" w:rsidR="001F0CEF" w:rsidRDefault="00DA5DA6">
          <w:pPr>
            <w:pStyle w:val="TM3"/>
            <w:tabs>
              <w:tab w:val="left" w:pos="1320"/>
              <w:tab w:val="right" w:leader="dot" w:pos="9060"/>
            </w:tabs>
            <w:rPr>
              <w:rFonts w:asciiTheme="minorHAnsi" w:eastAsiaTheme="minorEastAsia" w:hAnsiTheme="minorHAnsi"/>
              <w:noProof/>
              <w:sz w:val="22"/>
              <w:lang w:val="fr-BE" w:eastAsia="fr-BE"/>
            </w:rPr>
          </w:pPr>
          <w:hyperlink w:anchor="_Toc103007713" w:history="1">
            <w:r w:rsidR="001F0CEF" w:rsidRPr="00420FD6">
              <w:rPr>
                <w:rStyle w:val="Lienhypertexte"/>
                <w:noProof/>
              </w:rPr>
              <w:t>5.11.1</w:t>
            </w:r>
            <w:r w:rsidR="001F0CEF">
              <w:rPr>
                <w:rFonts w:asciiTheme="minorHAnsi" w:eastAsiaTheme="minorEastAsia" w:hAnsiTheme="minorHAnsi"/>
                <w:noProof/>
                <w:sz w:val="22"/>
                <w:lang w:val="fr-BE" w:eastAsia="fr-BE"/>
              </w:rPr>
              <w:tab/>
            </w:r>
            <w:r w:rsidR="001F0CEF" w:rsidRPr="00420FD6">
              <w:rPr>
                <w:rStyle w:val="Lienhypertexte"/>
                <w:noProof/>
              </w:rPr>
              <w:t>Témoignage en justice</w:t>
            </w:r>
            <w:r w:rsidR="001F0CEF">
              <w:rPr>
                <w:noProof/>
                <w:webHidden/>
              </w:rPr>
              <w:tab/>
            </w:r>
            <w:r w:rsidR="001F0CEF">
              <w:rPr>
                <w:noProof/>
                <w:webHidden/>
              </w:rPr>
              <w:fldChar w:fldCharType="begin"/>
            </w:r>
            <w:r w:rsidR="001F0CEF">
              <w:rPr>
                <w:noProof/>
                <w:webHidden/>
              </w:rPr>
              <w:instrText xml:space="preserve"> PAGEREF _Toc103007713 \h </w:instrText>
            </w:r>
            <w:r w:rsidR="001F0CEF">
              <w:rPr>
                <w:noProof/>
                <w:webHidden/>
              </w:rPr>
            </w:r>
            <w:r w:rsidR="001F0CEF">
              <w:rPr>
                <w:noProof/>
                <w:webHidden/>
              </w:rPr>
              <w:fldChar w:fldCharType="separate"/>
            </w:r>
            <w:r w:rsidR="001F0CEF">
              <w:rPr>
                <w:noProof/>
                <w:webHidden/>
              </w:rPr>
              <w:t>7</w:t>
            </w:r>
            <w:r w:rsidR="001F0CEF">
              <w:rPr>
                <w:noProof/>
                <w:webHidden/>
              </w:rPr>
              <w:fldChar w:fldCharType="end"/>
            </w:r>
          </w:hyperlink>
        </w:p>
        <w:p w14:paraId="5ED018A7" w14:textId="28EE2A1C" w:rsidR="001F0CEF" w:rsidRDefault="00DA5DA6">
          <w:pPr>
            <w:pStyle w:val="TM3"/>
            <w:tabs>
              <w:tab w:val="left" w:pos="1320"/>
              <w:tab w:val="right" w:leader="dot" w:pos="9060"/>
            </w:tabs>
            <w:rPr>
              <w:rFonts w:asciiTheme="minorHAnsi" w:eastAsiaTheme="minorEastAsia" w:hAnsiTheme="minorHAnsi"/>
              <w:noProof/>
              <w:sz w:val="22"/>
              <w:lang w:val="fr-BE" w:eastAsia="fr-BE"/>
            </w:rPr>
          </w:pPr>
          <w:hyperlink w:anchor="_Toc103007714" w:history="1">
            <w:r w:rsidR="001F0CEF" w:rsidRPr="00420FD6">
              <w:rPr>
                <w:rStyle w:val="Lienhypertexte"/>
                <w:noProof/>
              </w:rPr>
              <w:t>5.11.2</w:t>
            </w:r>
            <w:r w:rsidR="001F0CEF">
              <w:rPr>
                <w:rFonts w:asciiTheme="minorHAnsi" w:eastAsiaTheme="minorEastAsia" w:hAnsiTheme="minorHAnsi"/>
                <w:noProof/>
                <w:sz w:val="22"/>
                <w:lang w:val="fr-BE" w:eastAsia="fr-BE"/>
              </w:rPr>
              <w:tab/>
            </w:r>
            <w:r w:rsidR="001F0CEF" w:rsidRPr="00420FD6">
              <w:rPr>
                <w:rStyle w:val="Lienhypertexte"/>
                <w:noProof/>
              </w:rPr>
              <w:t>Concertation</w:t>
            </w:r>
            <w:r w:rsidR="001F0CEF">
              <w:rPr>
                <w:noProof/>
                <w:webHidden/>
              </w:rPr>
              <w:tab/>
            </w:r>
            <w:r w:rsidR="001F0CEF">
              <w:rPr>
                <w:noProof/>
                <w:webHidden/>
              </w:rPr>
              <w:fldChar w:fldCharType="begin"/>
            </w:r>
            <w:r w:rsidR="001F0CEF">
              <w:rPr>
                <w:noProof/>
                <w:webHidden/>
              </w:rPr>
              <w:instrText xml:space="preserve"> PAGEREF _Toc103007714 \h </w:instrText>
            </w:r>
            <w:r w:rsidR="001F0CEF">
              <w:rPr>
                <w:noProof/>
                <w:webHidden/>
              </w:rPr>
            </w:r>
            <w:r w:rsidR="001F0CEF">
              <w:rPr>
                <w:noProof/>
                <w:webHidden/>
              </w:rPr>
              <w:fldChar w:fldCharType="separate"/>
            </w:r>
            <w:r w:rsidR="001F0CEF">
              <w:rPr>
                <w:noProof/>
                <w:webHidden/>
              </w:rPr>
              <w:t>7</w:t>
            </w:r>
            <w:r w:rsidR="001F0CEF">
              <w:rPr>
                <w:noProof/>
                <w:webHidden/>
              </w:rPr>
              <w:fldChar w:fldCharType="end"/>
            </w:r>
          </w:hyperlink>
        </w:p>
        <w:p w14:paraId="704EB893" w14:textId="6C7E5C5B" w:rsidR="001F0CEF" w:rsidRDefault="00DA5DA6">
          <w:pPr>
            <w:pStyle w:val="TM3"/>
            <w:tabs>
              <w:tab w:val="left" w:pos="1320"/>
              <w:tab w:val="right" w:leader="dot" w:pos="9060"/>
            </w:tabs>
            <w:rPr>
              <w:rFonts w:asciiTheme="minorHAnsi" w:eastAsiaTheme="minorEastAsia" w:hAnsiTheme="minorHAnsi"/>
              <w:noProof/>
              <w:sz w:val="22"/>
              <w:lang w:val="fr-BE" w:eastAsia="fr-BE"/>
            </w:rPr>
          </w:pPr>
          <w:hyperlink w:anchor="_Toc103007715" w:history="1">
            <w:r w:rsidR="001F0CEF" w:rsidRPr="00420FD6">
              <w:rPr>
                <w:rStyle w:val="Lienhypertexte"/>
                <w:noProof/>
              </w:rPr>
              <w:t>5.11.3</w:t>
            </w:r>
            <w:r w:rsidR="001F0CEF">
              <w:rPr>
                <w:rFonts w:asciiTheme="minorHAnsi" w:eastAsiaTheme="minorEastAsia" w:hAnsiTheme="minorHAnsi"/>
                <w:noProof/>
                <w:sz w:val="22"/>
                <w:lang w:val="fr-BE" w:eastAsia="fr-BE"/>
              </w:rPr>
              <w:tab/>
            </w:r>
            <w:r w:rsidR="001F0CEF" w:rsidRPr="00420FD6">
              <w:rPr>
                <w:rStyle w:val="Lienhypertexte"/>
                <w:noProof/>
              </w:rPr>
              <w:t>Désignation d'un médecin expert judiciaire - Prise de sang ou salive pour détection d'une intoxication (alcool, drogues) ou pour déterminer le profil ADN</w:t>
            </w:r>
            <w:r w:rsidR="001F0CEF">
              <w:rPr>
                <w:noProof/>
                <w:webHidden/>
              </w:rPr>
              <w:tab/>
            </w:r>
            <w:r w:rsidR="001F0CEF">
              <w:rPr>
                <w:noProof/>
                <w:webHidden/>
              </w:rPr>
              <w:fldChar w:fldCharType="begin"/>
            </w:r>
            <w:r w:rsidR="001F0CEF">
              <w:rPr>
                <w:noProof/>
                <w:webHidden/>
              </w:rPr>
              <w:instrText xml:space="preserve"> PAGEREF _Toc103007715 \h </w:instrText>
            </w:r>
            <w:r w:rsidR="001F0CEF">
              <w:rPr>
                <w:noProof/>
                <w:webHidden/>
              </w:rPr>
            </w:r>
            <w:r w:rsidR="001F0CEF">
              <w:rPr>
                <w:noProof/>
                <w:webHidden/>
              </w:rPr>
              <w:fldChar w:fldCharType="separate"/>
            </w:r>
            <w:r w:rsidR="001F0CEF">
              <w:rPr>
                <w:noProof/>
                <w:webHidden/>
              </w:rPr>
              <w:t>8</w:t>
            </w:r>
            <w:r w:rsidR="001F0CEF">
              <w:rPr>
                <w:noProof/>
                <w:webHidden/>
              </w:rPr>
              <w:fldChar w:fldCharType="end"/>
            </w:r>
          </w:hyperlink>
        </w:p>
        <w:p w14:paraId="170BCD8D" w14:textId="7FDD06AB" w:rsidR="001F0CEF" w:rsidRDefault="00DA5DA6">
          <w:pPr>
            <w:pStyle w:val="TM2"/>
            <w:tabs>
              <w:tab w:val="left" w:pos="1100"/>
              <w:tab w:val="right" w:leader="dot" w:pos="9060"/>
            </w:tabs>
            <w:rPr>
              <w:rFonts w:asciiTheme="minorHAnsi" w:eastAsiaTheme="minorEastAsia" w:hAnsiTheme="minorHAnsi"/>
              <w:noProof/>
              <w:sz w:val="22"/>
              <w:lang w:val="fr-BE" w:eastAsia="fr-BE"/>
            </w:rPr>
          </w:pPr>
          <w:hyperlink w:anchor="_Toc103007716" w:history="1">
            <w:r w:rsidR="001F0CEF" w:rsidRPr="00420FD6">
              <w:rPr>
                <w:rStyle w:val="Lienhypertexte"/>
                <w:noProof/>
              </w:rPr>
              <w:t>5.12</w:t>
            </w:r>
            <w:r w:rsidR="001F0CEF">
              <w:rPr>
                <w:rFonts w:asciiTheme="minorHAnsi" w:eastAsiaTheme="minorEastAsia" w:hAnsiTheme="minorHAnsi"/>
                <w:noProof/>
                <w:sz w:val="22"/>
                <w:lang w:val="fr-BE" w:eastAsia="fr-BE"/>
              </w:rPr>
              <w:tab/>
            </w:r>
            <w:r w:rsidR="001F0CEF" w:rsidRPr="00420FD6">
              <w:rPr>
                <w:rStyle w:val="Lienhypertexte"/>
                <w:noProof/>
              </w:rPr>
              <w:t>Caméras de surveillance en milieu hospitalier</w:t>
            </w:r>
            <w:r w:rsidR="001F0CEF">
              <w:rPr>
                <w:noProof/>
                <w:webHidden/>
              </w:rPr>
              <w:tab/>
            </w:r>
            <w:r w:rsidR="001F0CEF">
              <w:rPr>
                <w:noProof/>
                <w:webHidden/>
              </w:rPr>
              <w:fldChar w:fldCharType="begin"/>
            </w:r>
            <w:r w:rsidR="001F0CEF">
              <w:rPr>
                <w:noProof/>
                <w:webHidden/>
              </w:rPr>
              <w:instrText xml:space="preserve"> PAGEREF _Toc103007716 \h </w:instrText>
            </w:r>
            <w:r w:rsidR="001F0CEF">
              <w:rPr>
                <w:noProof/>
                <w:webHidden/>
              </w:rPr>
            </w:r>
            <w:r w:rsidR="001F0CEF">
              <w:rPr>
                <w:noProof/>
                <w:webHidden/>
              </w:rPr>
              <w:fldChar w:fldCharType="separate"/>
            </w:r>
            <w:r w:rsidR="001F0CEF">
              <w:rPr>
                <w:noProof/>
                <w:webHidden/>
              </w:rPr>
              <w:t>9</w:t>
            </w:r>
            <w:r w:rsidR="001F0CEF">
              <w:rPr>
                <w:noProof/>
                <w:webHidden/>
              </w:rPr>
              <w:fldChar w:fldCharType="end"/>
            </w:r>
          </w:hyperlink>
        </w:p>
        <w:p w14:paraId="3AD94E4C" w14:textId="123D74C1" w:rsidR="001F0CEF" w:rsidRDefault="00DA5DA6">
          <w:pPr>
            <w:pStyle w:val="TM2"/>
            <w:tabs>
              <w:tab w:val="left" w:pos="1100"/>
              <w:tab w:val="right" w:leader="dot" w:pos="9060"/>
            </w:tabs>
            <w:rPr>
              <w:rFonts w:asciiTheme="minorHAnsi" w:eastAsiaTheme="minorEastAsia" w:hAnsiTheme="minorHAnsi"/>
              <w:noProof/>
              <w:sz w:val="22"/>
              <w:lang w:val="fr-BE" w:eastAsia="fr-BE"/>
            </w:rPr>
          </w:pPr>
          <w:hyperlink w:anchor="_Toc103007717" w:history="1">
            <w:r w:rsidR="001F0CEF" w:rsidRPr="00420FD6">
              <w:rPr>
                <w:rStyle w:val="Lienhypertexte"/>
                <w:noProof/>
              </w:rPr>
              <w:t>5.13</w:t>
            </w:r>
            <w:r w:rsidR="001F0CEF">
              <w:rPr>
                <w:rFonts w:asciiTheme="minorHAnsi" w:eastAsiaTheme="minorEastAsia" w:hAnsiTheme="minorHAnsi"/>
                <w:noProof/>
                <w:sz w:val="22"/>
                <w:lang w:val="fr-BE" w:eastAsia="fr-BE"/>
              </w:rPr>
              <w:tab/>
            </w:r>
            <w:r w:rsidR="001F0CEF" w:rsidRPr="00420FD6">
              <w:rPr>
                <w:rStyle w:val="Lienhypertexte"/>
                <w:noProof/>
              </w:rPr>
              <w:t>Patient admis pour blessure par arme à feu ou par arme blanche</w:t>
            </w:r>
            <w:r w:rsidR="001F0CEF">
              <w:rPr>
                <w:noProof/>
                <w:webHidden/>
              </w:rPr>
              <w:tab/>
            </w:r>
            <w:r w:rsidR="001F0CEF">
              <w:rPr>
                <w:noProof/>
                <w:webHidden/>
              </w:rPr>
              <w:fldChar w:fldCharType="begin"/>
            </w:r>
            <w:r w:rsidR="001F0CEF">
              <w:rPr>
                <w:noProof/>
                <w:webHidden/>
              </w:rPr>
              <w:instrText xml:space="preserve"> PAGEREF _Toc103007717 \h </w:instrText>
            </w:r>
            <w:r w:rsidR="001F0CEF">
              <w:rPr>
                <w:noProof/>
                <w:webHidden/>
              </w:rPr>
            </w:r>
            <w:r w:rsidR="001F0CEF">
              <w:rPr>
                <w:noProof/>
                <w:webHidden/>
              </w:rPr>
              <w:fldChar w:fldCharType="separate"/>
            </w:r>
            <w:r w:rsidR="001F0CEF">
              <w:rPr>
                <w:noProof/>
                <w:webHidden/>
              </w:rPr>
              <w:t>9</w:t>
            </w:r>
            <w:r w:rsidR="001F0CEF">
              <w:rPr>
                <w:noProof/>
                <w:webHidden/>
              </w:rPr>
              <w:fldChar w:fldCharType="end"/>
            </w:r>
          </w:hyperlink>
        </w:p>
        <w:p w14:paraId="3D9D9CAA" w14:textId="5EBC3C1A" w:rsidR="001F0CEF" w:rsidRDefault="00DA5DA6">
          <w:pPr>
            <w:pStyle w:val="TM1"/>
            <w:tabs>
              <w:tab w:val="left" w:pos="440"/>
              <w:tab w:val="right" w:leader="dot" w:pos="9060"/>
            </w:tabs>
            <w:rPr>
              <w:rFonts w:asciiTheme="minorHAnsi" w:eastAsiaTheme="minorEastAsia" w:hAnsiTheme="minorHAnsi"/>
              <w:noProof/>
              <w:sz w:val="22"/>
              <w:lang w:val="fr-BE" w:eastAsia="fr-BE"/>
            </w:rPr>
          </w:pPr>
          <w:hyperlink w:anchor="_Toc103007718" w:history="1">
            <w:r w:rsidR="001F0CEF" w:rsidRPr="00420FD6">
              <w:rPr>
                <w:rStyle w:val="Lienhypertexte"/>
                <w:noProof/>
              </w:rPr>
              <w:t>6.</w:t>
            </w:r>
            <w:r w:rsidR="001F0CEF">
              <w:rPr>
                <w:rFonts w:asciiTheme="minorHAnsi" w:eastAsiaTheme="minorEastAsia" w:hAnsiTheme="minorHAnsi"/>
                <w:noProof/>
                <w:sz w:val="22"/>
                <w:lang w:val="fr-BE" w:eastAsia="fr-BE"/>
              </w:rPr>
              <w:tab/>
            </w:r>
            <w:r w:rsidR="001F0CEF" w:rsidRPr="00420FD6">
              <w:rPr>
                <w:rStyle w:val="Lienhypertexte"/>
                <w:noProof/>
              </w:rPr>
              <w:t>Contention – Isolement psychiatrique – Sécurisation du patient – Sécurisation des biens</w:t>
            </w:r>
            <w:r w:rsidR="001F0CEF">
              <w:rPr>
                <w:noProof/>
                <w:webHidden/>
              </w:rPr>
              <w:tab/>
            </w:r>
            <w:r w:rsidR="001F0CEF">
              <w:rPr>
                <w:noProof/>
                <w:webHidden/>
              </w:rPr>
              <w:fldChar w:fldCharType="begin"/>
            </w:r>
            <w:r w:rsidR="001F0CEF">
              <w:rPr>
                <w:noProof/>
                <w:webHidden/>
              </w:rPr>
              <w:instrText xml:space="preserve"> PAGEREF _Toc103007718 \h </w:instrText>
            </w:r>
            <w:r w:rsidR="001F0CEF">
              <w:rPr>
                <w:noProof/>
                <w:webHidden/>
              </w:rPr>
            </w:r>
            <w:r w:rsidR="001F0CEF">
              <w:rPr>
                <w:noProof/>
                <w:webHidden/>
              </w:rPr>
              <w:fldChar w:fldCharType="separate"/>
            </w:r>
            <w:r w:rsidR="001F0CEF">
              <w:rPr>
                <w:noProof/>
                <w:webHidden/>
              </w:rPr>
              <w:t>10</w:t>
            </w:r>
            <w:r w:rsidR="001F0CEF">
              <w:rPr>
                <w:noProof/>
                <w:webHidden/>
              </w:rPr>
              <w:fldChar w:fldCharType="end"/>
            </w:r>
          </w:hyperlink>
        </w:p>
        <w:p w14:paraId="6290048A" w14:textId="1F0110AF" w:rsidR="001F0CEF" w:rsidRDefault="00DA5DA6">
          <w:pPr>
            <w:pStyle w:val="TM1"/>
            <w:tabs>
              <w:tab w:val="left" w:pos="440"/>
              <w:tab w:val="right" w:leader="dot" w:pos="9060"/>
            </w:tabs>
            <w:rPr>
              <w:rFonts w:asciiTheme="minorHAnsi" w:eastAsiaTheme="minorEastAsia" w:hAnsiTheme="minorHAnsi"/>
              <w:noProof/>
              <w:sz w:val="22"/>
              <w:lang w:val="fr-BE" w:eastAsia="fr-BE"/>
            </w:rPr>
          </w:pPr>
          <w:hyperlink w:anchor="_Toc103007719" w:history="1">
            <w:r w:rsidR="001F0CEF" w:rsidRPr="00420FD6">
              <w:rPr>
                <w:rStyle w:val="Lienhypertexte"/>
                <w:noProof/>
              </w:rPr>
              <w:t>7.</w:t>
            </w:r>
            <w:r w:rsidR="001F0CEF">
              <w:rPr>
                <w:rFonts w:asciiTheme="minorHAnsi" w:eastAsiaTheme="minorEastAsia" w:hAnsiTheme="minorHAnsi"/>
                <w:noProof/>
                <w:sz w:val="22"/>
                <w:lang w:val="fr-BE" w:eastAsia="fr-BE"/>
              </w:rPr>
              <w:tab/>
            </w:r>
            <w:r w:rsidR="001F0CEF" w:rsidRPr="00420FD6">
              <w:rPr>
                <w:rStyle w:val="Lienhypertexte"/>
                <w:noProof/>
              </w:rPr>
              <w:t>Références</w:t>
            </w:r>
            <w:r w:rsidR="001F0CEF">
              <w:rPr>
                <w:noProof/>
                <w:webHidden/>
              </w:rPr>
              <w:tab/>
            </w:r>
            <w:r w:rsidR="001F0CEF">
              <w:rPr>
                <w:noProof/>
                <w:webHidden/>
              </w:rPr>
              <w:fldChar w:fldCharType="begin"/>
            </w:r>
            <w:r w:rsidR="001F0CEF">
              <w:rPr>
                <w:noProof/>
                <w:webHidden/>
              </w:rPr>
              <w:instrText xml:space="preserve"> PAGEREF _Toc103007719 \h </w:instrText>
            </w:r>
            <w:r w:rsidR="001F0CEF">
              <w:rPr>
                <w:noProof/>
                <w:webHidden/>
              </w:rPr>
            </w:r>
            <w:r w:rsidR="001F0CEF">
              <w:rPr>
                <w:noProof/>
                <w:webHidden/>
              </w:rPr>
              <w:fldChar w:fldCharType="separate"/>
            </w:r>
            <w:r w:rsidR="001F0CEF">
              <w:rPr>
                <w:noProof/>
                <w:webHidden/>
              </w:rPr>
              <w:t>10</w:t>
            </w:r>
            <w:r w:rsidR="001F0CEF">
              <w:rPr>
                <w:noProof/>
                <w:webHidden/>
              </w:rPr>
              <w:fldChar w:fldCharType="end"/>
            </w:r>
          </w:hyperlink>
        </w:p>
        <w:p w14:paraId="4A0B19B8" w14:textId="485A6F65" w:rsidR="001F0CEF" w:rsidRDefault="00DA5DA6">
          <w:pPr>
            <w:pStyle w:val="TM1"/>
            <w:tabs>
              <w:tab w:val="left" w:pos="440"/>
              <w:tab w:val="right" w:leader="dot" w:pos="9060"/>
            </w:tabs>
            <w:rPr>
              <w:rFonts w:asciiTheme="minorHAnsi" w:eastAsiaTheme="minorEastAsia" w:hAnsiTheme="minorHAnsi"/>
              <w:noProof/>
              <w:sz w:val="22"/>
              <w:lang w:val="fr-BE" w:eastAsia="fr-BE"/>
            </w:rPr>
          </w:pPr>
          <w:hyperlink w:anchor="_Toc103007720" w:history="1">
            <w:r w:rsidR="001F0CEF" w:rsidRPr="00420FD6">
              <w:rPr>
                <w:rStyle w:val="Lienhypertexte"/>
                <w:noProof/>
              </w:rPr>
              <w:t>8.</w:t>
            </w:r>
            <w:r w:rsidR="001F0CEF">
              <w:rPr>
                <w:rFonts w:asciiTheme="minorHAnsi" w:eastAsiaTheme="minorEastAsia" w:hAnsiTheme="minorHAnsi"/>
                <w:noProof/>
                <w:sz w:val="22"/>
                <w:lang w:val="fr-BE" w:eastAsia="fr-BE"/>
              </w:rPr>
              <w:tab/>
            </w:r>
            <w:r w:rsidR="001F0CEF" w:rsidRPr="00420FD6">
              <w:rPr>
                <w:rStyle w:val="Lienhypertexte"/>
                <w:noProof/>
              </w:rPr>
              <w:t>Approbations - Validations</w:t>
            </w:r>
            <w:r w:rsidR="001F0CEF">
              <w:rPr>
                <w:noProof/>
                <w:webHidden/>
              </w:rPr>
              <w:tab/>
            </w:r>
            <w:r w:rsidR="001F0CEF">
              <w:rPr>
                <w:noProof/>
                <w:webHidden/>
              </w:rPr>
              <w:fldChar w:fldCharType="begin"/>
            </w:r>
            <w:r w:rsidR="001F0CEF">
              <w:rPr>
                <w:noProof/>
                <w:webHidden/>
              </w:rPr>
              <w:instrText xml:space="preserve"> PAGEREF _Toc103007720 \h </w:instrText>
            </w:r>
            <w:r w:rsidR="001F0CEF">
              <w:rPr>
                <w:noProof/>
                <w:webHidden/>
              </w:rPr>
            </w:r>
            <w:r w:rsidR="001F0CEF">
              <w:rPr>
                <w:noProof/>
                <w:webHidden/>
              </w:rPr>
              <w:fldChar w:fldCharType="separate"/>
            </w:r>
            <w:r w:rsidR="001F0CEF">
              <w:rPr>
                <w:noProof/>
                <w:webHidden/>
              </w:rPr>
              <w:t>10</w:t>
            </w:r>
            <w:r w:rsidR="001F0CEF">
              <w:rPr>
                <w:noProof/>
                <w:webHidden/>
              </w:rPr>
              <w:fldChar w:fldCharType="end"/>
            </w:r>
          </w:hyperlink>
        </w:p>
        <w:p w14:paraId="4DC64690" w14:textId="2158CD7C" w:rsidR="00603AFF" w:rsidRDefault="00603AFF">
          <w:r>
            <w:rPr>
              <w:b/>
              <w:bCs/>
            </w:rPr>
            <w:fldChar w:fldCharType="end"/>
          </w:r>
        </w:p>
      </w:sdtContent>
    </w:sdt>
    <w:p w14:paraId="4DC64691" w14:textId="63A382B7" w:rsidR="0054138E" w:rsidRDefault="0054138E" w:rsidP="0054138E"/>
    <w:p w14:paraId="10C41A3E" w14:textId="77777777" w:rsidR="00F148D7" w:rsidRDefault="00F148D7" w:rsidP="0054138E"/>
    <w:p w14:paraId="4DC64693" w14:textId="3729D3C1" w:rsidR="00CF54C6" w:rsidRDefault="00603AFF" w:rsidP="003D566A">
      <w:pPr>
        <w:pStyle w:val="Titre1"/>
      </w:pPr>
      <w:bookmarkStart w:id="2" w:name="_Toc103007692"/>
      <w:bookmarkStart w:id="3" w:name="_Toc357771620"/>
      <w:bookmarkEnd w:id="0"/>
      <w:bookmarkEnd w:id="1"/>
      <w:r>
        <w:t>O</w:t>
      </w:r>
      <w:r w:rsidR="00623F95">
        <w:t>bjet</w:t>
      </w:r>
      <w:bookmarkEnd w:id="2"/>
    </w:p>
    <w:p w14:paraId="4DC64694" w14:textId="68F7B927" w:rsidR="00623F95" w:rsidRDefault="00875588" w:rsidP="00E31DF0">
      <w:pPr>
        <w:rPr>
          <w:lang w:val="fr-BE"/>
        </w:rPr>
      </w:pPr>
      <w:r>
        <w:rPr>
          <w:lang w:val="fr-BE"/>
        </w:rPr>
        <w:t>Le présent guide a pour vocation d’éclairer les professionnels de santé du CHU Ambroise Paré à différentes situations médico-légales se présentant à eux</w:t>
      </w:r>
    </w:p>
    <w:p w14:paraId="4DC64696" w14:textId="77777777" w:rsidR="00300B53" w:rsidRDefault="00603AFF" w:rsidP="006C5383">
      <w:pPr>
        <w:pStyle w:val="Titre1"/>
      </w:pPr>
      <w:bookmarkStart w:id="4" w:name="_Toc103007693"/>
      <w:bookmarkEnd w:id="3"/>
      <w:r>
        <w:t>D</w:t>
      </w:r>
      <w:r w:rsidR="002C7B1B">
        <w:t>omaine d’application</w:t>
      </w:r>
      <w:bookmarkEnd w:id="4"/>
    </w:p>
    <w:p w14:paraId="4DC64697" w14:textId="69B54E36" w:rsidR="00603AFF" w:rsidRDefault="00F148D7" w:rsidP="00FD482E">
      <w:pPr>
        <w:rPr>
          <w:lang w:val="fr-BE"/>
        </w:rPr>
      </w:pPr>
      <w:r>
        <w:rPr>
          <w:lang w:val="fr-BE"/>
        </w:rPr>
        <w:t>Tous les professionnels de santé</w:t>
      </w:r>
      <w:r w:rsidR="00875588">
        <w:rPr>
          <w:lang w:val="fr-BE"/>
        </w:rPr>
        <w:t xml:space="preserve"> du CHU Ambroise Paré sont ciblés par ce guide.</w:t>
      </w:r>
    </w:p>
    <w:p w14:paraId="215C181F" w14:textId="3BE9763F" w:rsidR="00A62C40" w:rsidRDefault="00A62C40" w:rsidP="00A86D26">
      <w:pPr>
        <w:pStyle w:val="Titre1"/>
      </w:pPr>
      <w:bookmarkStart w:id="5" w:name="_Toc103007694"/>
      <w:r>
        <w:t xml:space="preserve">Droits du patient – </w:t>
      </w:r>
      <w:r w:rsidR="004710AB">
        <w:t>C</w:t>
      </w:r>
      <w:r>
        <w:t xml:space="preserve">onsentement – </w:t>
      </w:r>
      <w:r w:rsidR="00E72F23">
        <w:t>Orientation thérapeutique</w:t>
      </w:r>
      <w:bookmarkEnd w:id="5"/>
    </w:p>
    <w:p w14:paraId="207199AB" w14:textId="0AF906A7" w:rsidR="00A62C40" w:rsidRDefault="00A62C40" w:rsidP="004C15B7">
      <w:pPr>
        <w:pStyle w:val="Paragraphedeliste"/>
        <w:numPr>
          <w:ilvl w:val="0"/>
          <w:numId w:val="33"/>
        </w:numPr>
        <w:rPr>
          <w:lang w:val="fr-BE"/>
        </w:rPr>
      </w:pPr>
      <w:r>
        <w:rPr>
          <w:lang w:val="fr-BE"/>
        </w:rPr>
        <w:t>Les droits du patient sont repris dans la charte des droits et devoirs du patient</w:t>
      </w:r>
      <w:r w:rsidR="004C15B7">
        <w:rPr>
          <w:lang w:val="fr-BE"/>
        </w:rPr>
        <w:t xml:space="preserve">- </w:t>
      </w:r>
      <w:hyperlink r:id="rId8" w:history="1">
        <w:r w:rsidR="004C15B7" w:rsidRPr="004C15B7">
          <w:rPr>
            <w:rStyle w:val="Lienhypertexte"/>
            <w:lang w:val="fr-BE"/>
          </w:rPr>
          <w:t>GED-POL-00058</w:t>
        </w:r>
      </w:hyperlink>
      <w:r w:rsidR="004C15B7">
        <w:rPr>
          <w:rFonts w:ascii="Arial" w:hAnsi="Arial" w:cs="Arial"/>
          <w:color w:val="4E4E4E"/>
          <w:sz w:val="21"/>
          <w:szCs w:val="21"/>
          <w:shd w:val="clear" w:color="auto" w:fill="FFFFFF"/>
        </w:rPr>
        <w:t>8</w:t>
      </w:r>
      <w:r>
        <w:rPr>
          <w:lang w:val="fr-BE"/>
        </w:rPr>
        <w:t xml:space="preserve"> et notre code éthique</w:t>
      </w:r>
      <w:r w:rsidR="004C15B7" w:rsidRPr="004C15B7">
        <w:t xml:space="preserve"> </w:t>
      </w:r>
      <w:hyperlink r:id="rId9" w:history="1">
        <w:r w:rsidR="004C15B7" w:rsidRPr="004710AB">
          <w:rPr>
            <w:rStyle w:val="Lienhypertexte"/>
            <w:lang w:val="fr-BE"/>
          </w:rPr>
          <w:t>GED-POL-00025</w:t>
        </w:r>
      </w:hyperlink>
      <w:r>
        <w:rPr>
          <w:lang w:val="fr-BE"/>
        </w:rPr>
        <w:t xml:space="preserve"> .</w:t>
      </w:r>
      <w:r w:rsidR="00301A8B">
        <w:rPr>
          <w:lang w:val="fr-BE"/>
        </w:rPr>
        <w:t>S</w:t>
      </w:r>
      <w:r>
        <w:rPr>
          <w:lang w:val="fr-BE"/>
        </w:rPr>
        <w:t xml:space="preserve">i le patient estime que ses droits n’ont pas été respectés, il y a lieu de l’orienter vers la médiation, via le site à </w:t>
      </w:r>
      <w:r>
        <w:rPr>
          <w:i/>
          <w:lang w:val="fr-BE"/>
        </w:rPr>
        <w:t xml:space="preserve">Le CHU et Vous/Médiation, </w:t>
      </w:r>
      <w:hyperlink r:id="rId10" w:history="1">
        <w:r w:rsidRPr="00A52275">
          <w:rPr>
            <w:rStyle w:val="Lienhypertexte"/>
            <w:lang w:val="fr-BE"/>
          </w:rPr>
          <w:t>mediation@hap.be</w:t>
        </w:r>
      </w:hyperlink>
      <w:r>
        <w:rPr>
          <w:lang w:val="fr-BE"/>
        </w:rPr>
        <w:t xml:space="preserve"> , téléphone : 065/418060</w:t>
      </w:r>
      <w:r w:rsidR="00BD76F8">
        <w:rPr>
          <w:lang w:val="fr-BE"/>
        </w:rPr>
        <w:t>.</w:t>
      </w:r>
    </w:p>
    <w:p w14:paraId="4BB13BDF" w14:textId="413BB62B" w:rsidR="00A62C40" w:rsidRPr="00BD76F8" w:rsidRDefault="00A62C40" w:rsidP="00BD76F8">
      <w:pPr>
        <w:pStyle w:val="Paragraphedeliste"/>
        <w:numPr>
          <w:ilvl w:val="0"/>
          <w:numId w:val="33"/>
        </w:numPr>
        <w:rPr>
          <w:rStyle w:val="Lienhypertexte"/>
          <w:color w:val="auto"/>
          <w:u w:val="none"/>
          <w:lang w:val="fr-BE"/>
        </w:rPr>
      </w:pPr>
      <w:r w:rsidRPr="00BD76F8">
        <w:rPr>
          <w:lang w:val="fr-BE"/>
        </w:rPr>
        <w:t xml:space="preserve">Le consentement. Le médecin indique dans le dossier que le patient a été informé et y note en résumé les éléments d’un consentement libre et éclairé qui ont été abordés avec le patient selon le chapitre 6.2 de la </w:t>
      </w:r>
      <w:hyperlink r:id="rId11" w:history="1">
        <w:r w:rsidRPr="00BD76F8">
          <w:rPr>
            <w:rStyle w:val="Lienhypertexte"/>
            <w:lang w:val="fr-BE"/>
          </w:rPr>
          <w:t>GED-POL-00066</w:t>
        </w:r>
      </w:hyperlink>
    </w:p>
    <w:p w14:paraId="6952C130" w14:textId="77777777" w:rsidR="00A62C40" w:rsidRPr="00FB4123" w:rsidRDefault="00DA5DA6" w:rsidP="00A62C40">
      <w:pPr>
        <w:pStyle w:val="Paragraphedeliste"/>
        <w:numPr>
          <w:ilvl w:val="0"/>
          <w:numId w:val="33"/>
        </w:numPr>
        <w:rPr>
          <w:rStyle w:val="Lienhypertexte"/>
          <w:color w:val="auto"/>
          <w:u w:val="none"/>
          <w:lang w:val="fr-BE"/>
        </w:rPr>
      </w:pPr>
      <w:hyperlink r:id="rId12" w:history="1">
        <w:r w:rsidR="00A62C40" w:rsidRPr="00FB4123">
          <w:rPr>
            <w:rStyle w:val="Lienhypertexte"/>
            <w:lang w:val="fr-BE"/>
          </w:rPr>
          <w:t>La planification Anticipée des Soins par le patient – L’orientation, le statut thérapeutique du patient - GED-GUI-00029</w:t>
        </w:r>
      </w:hyperlink>
    </w:p>
    <w:p w14:paraId="26CA2CD9" w14:textId="350548A8" w:rsidR="00A62C40" w:rsidRPr="00E72F23" w:rsidRDefault="00A62C40" w:rsidP="00A62C40">
      <w:pPr>
        <w:pStyle w:val="Paragraphedeliste"/>
        <w:numPr>
          <w:ilvl w:val="0"/>
          <w:numId w:val="33"/>
        </w:numPr>
        <w:rPr>
          <w:lang w:val="fr-BE"/>
        </w:rPr>
      </w:pPr>
      <w:r w:rsidRPr="007F00B8">
        <w:t xml:space="preserve">La protection des données : si un patient </w:t>
      </w:r>
      <w:r>
        <w:t xml:space="preserve">a des doutes sur le respect de la confidentialité de ses données, il faut le mettre en lien avec le responsable RGPD – </w:t>
      </w:r>
      <w:hyperlink r:id="rId13" w:history="1">
        <w:r w:rsidRPr="00A52275">
          <w:rPr>
            <w:rStyle w:val="Lienhypertexte"/>
          </w:rPr>
          <w:t>rgpd@hap.be</w:t>
        </w:r>
      </w:hyperlink>
      <w:r>
        <w:t xml:space="preserve">  et lui indiquer qu’il peut formuler une plainte via notre site </w:t>
      </w:r>
      <w:hyperlink r:id="rId14" w:history="1">
        <w:r w:rsidRPr="00A52275">
          <w:rPr>
            <w:rStyle w:val="Lienhypertexte"/>
          </w:rPr>
          <w:t>www.hap.be</w:t>
        </w:r>
      </w:hyperlink>
      <w:r>
        <w:t xml:space="preserve"> à </w:t>
      </w:r>
      <w:r>
        <w:rPr>
          <w:i/>
        </w:rPr>
        <w:t>Le CHU et Vous / Protection de vos données</w:t>
      </w:r>
    </w:p>
    <w:p w14:paraId="26C11B2A" w14:textId="49FE0931" w:rsidR="00E72F23" w:rsidRPr="00B923FB" w:rsidRDefault="00E72F23" w:rsidP="00A62C40">
      <w:pPr>
        <w:pStyle w:val="Paragraphedeliste"/>
        <w:numPr>
          <w:ilvl w:val="0"/>
          <w:numId w:val="33"/>
        </w:numPr>
        <w:rPr>
          <w:lang w:val="fr-BE"/>
        </w:rPr>
      </w:pPr>
      <w:r>
        <w:rPr>
          <w:lang w:val="fr-BE"/>
        </w:rPr>
        <w:t xml:space="preserve">En cas de fugue de patient, se référer à </w:t>
      </w:r>
      <w:hyperlink r:id="rId15" w:history="1">
        <w:r w:rsidRPr="00305A84">
          <w:rPr>
            <w:rStyle w:val="Lienhypertexte"/>
            <w:lang w:val="fr-BE"/>
          </w:rPr>
          <w:t>Fugue et disparition de patient - GED-PRO-00291</w:t>
        </w:r>
      </w:hyperlink>
    </w:p>
    <w:p w14:paraId="225C55B6" w14:textId="5C96D451" w:rsidR="003A5FDE" w:rsidRDefault="00D31F06" w:rsidP="00A86D26">
      <w:pPr>
        <w:pStyle w:val="Titre1"/>
      </w:pPr>
      <w:bookmarkStart w:id="6" w:name="_Toc103007695"/>
      <w:r>
        <w:t>Le secret professionnel</w:t>
      </w:r>
      <w:bookmarkEnd w:id="6"/>
    </w:p>
    <w:p w14:paraId="0E8705ED" w14:textId="4016D880" w:rsidR="00D31F06" w:rsidRDefault="005E5B1D" w:rsidP="00CC07E0">
      <w:pPr>
        <w:rPr>
          <w:lang w:val="fr-BE"/>
        </w:rPr>
      </w:pPr>
      <w:r>
        <w:rPr>
          <w:lang w:val="fr-BE"/>
        </w:rPr>
        <w:t>N</w:t>
      </w:r>
      <w:r w:rsidR="0078683D">
        <w:rPr>
          <w:lang w:val="fr-BE"/>
        </w:rPr>
        <w:t xml:space="preserve">ous nous référons à notre brochure </w:t>
      </w:r>
      <w:r w:rsidR="00CC07E0">
        <w:rPr>
          <w:lang w:val="fr-BE"/>
        </w:rPr>
        <w:t xml:space="preserve">sur le </w:t>
      </w:r>
      <w:hyperlink r:id="rId16" w:history="1">
        <w:r w:rsidR="00CC07E0" w:rsidRPr="00CC07E0">
          <w:rPr>
            <w:rStyle w:val="Lienhypertexte"/>
            <w:lang w:val="fr-BE"/>
          </w:rPr>
          <w:t>secret professionnel - GED-INFO-00092</w:t>
        </w:r>
      </w:hyperlink>
      <w:r w:rsidR="00CC07E0">
        <w:rPr>
          <w:lang w:val="fr-BE"/>
        </w:rPr>
        <w:t xml:space="preserve"> </w:t>
      </w:r>
    </w:p>
    <w:p w14:paraId="477C83A3" w14:textId="6FE9FBD6" w:rsidR="00F148D7" w:rsidRDefault="00F148D7" w:rsidP="00CC07E0">
      <w:pPr>
        <w:rPr>
          <w:lang w:val="fr-BE"/>
        </w:rPr>
      </w:pPr>
    </w:p>
    <w:p w14:paraId="7E6F3D92" w14:textId="743D06F2" w:rsidR="00F148D7" w:rsidRDefault="00F148D7" w:rsidP="00CC07E0">
      <w:pPr>
        <w:rPr>
          <w:lang w:val="fr-BE"/>
        </w:rPr>
      </w:pPr>
    </w:p>
    <w:p w14:paraId="644068D3" w14:textId="5F8CAFA1" w:rsidR="00F148D7" w:rsidRDefault="00F148D7">
      <w:pPr>
        <w:spacing w:line="240" w:lineRule="auto"/>
        <w:ind w:left="1440"/>
        <w:rPr>
          <w:lang w:val="fr-BE"/>
        </w:rPr>
      </w:pPr>
      <w:r>
        <w:rPr>
          <w:lang w:val="fr-BE"/>
        </w:rPr>
        <w:br w:type="page"/>
      </w:r>
    </w:p>
    <w:p w14:paraId="333AA351" w14:textId="77777777" w:rsidR="00F148D7" w:rsidRDefault="00F148D7" w:rsidP="00CC07E0">
      <w:pPr>
        <w:rPr>
          <w:lang w:val="fr-BE"/>
        </w:rPr>
      </w:pPr>
    </w:p>
    <w:p w14:paraId="5F9901A7" w14:textId="5370254C" w:rsidR="007D37E9" w:rsidRPr="007D37E9" w:rsidRDefault="00582811" w:rsidP="00A86D26">
      <w:pPr>
        <w:pStyle w:val="Titre1"/>
      </w:pPr>
      <w:bookmarkStart w:id="7" w:name="_Toc103007696"/>
      <w:r>
        <w:t xml:space="preserve">Forces de </w:t>
      </w:r>
      <w:r w:rsidR="007D37E9" w:rsidRPr="007D37E9">
        <w:t>police</w:t>
      </w:r>
      <w:r>
        <w:t xml:space="preserve"> et</w:t>
      </w:r>
      <w:r w:rsidR="00E72F23">
        <w:t xml:space="preserve"> soignants</w:t>
      </w:r>
      <w:bookmarkEnd w:id="7"/>
    </w:p>
    <w:p w14:paraId="6F31FF8F" w14:textId="11FD617F" w:rsidR="00D31F06" w:rsidRDefault="00F148D7" w:rsidP="00F148D7">
      <w:r>
        <w:t xml:space="preserve">Ce chapitre est essentiellement </w:t>
      </w:r>
      <w:r w:rsidR="00A63EFE">
        <w:t xml:space="preserve">extrait du site </w:t>
      </w:r>
      <w:hyperlink r:id="rId17" w:history="1">
        <w:r w:rsidR="00A63EFE">
          <w:rPr>
            <w:rFonts w:eastAsia="Calibri"/>
            <w:color w:val="0563C1"/>
            <w:u w:val="single"/>
          </w:rPr>
          <w:t>de l’ordre des médecins de Belgique</w:t>
        </w:r>
      </w:hyperlink>
      <w:r w:rsidR="00582811" w:rsidRPr="004E5DCD">
        <w:rPr>
          <w:rFonts w:eastAsia="Calibri"/>
        </w:rPr>
        <w:t xml:space="preserve"> .</w:t>
      </w:r>
      <w:r w:rsidR="004E5DCD">
        <w:rPr>
          <w:rFonts w:eastAsia="Calibri"/>
        </w:rPr>
        <w:t xml:space="preserve"> Il est souvent mentionné « le médecin » mais les autres soignants sont appelés à suivre les mêmes recommandations.</w:t>
      </w:r>
    </w:p>
    <w:p w14:paraId="48A528CA" w14:textId="49264F7F" w:rsidR="009511F9" w:rsidRPr="009511F9" w:rsidRDefault="007D018B" w:rsidP="00A86D26">
      <w:pPr>
        <w:pStyle w:val="Titre2"/>
      </w:pPr>
      <w:bookmarkStart w:id="8" w:name="_Toc103007697"/>
      <w:r>
        <w:t>F</w:t>
      </w:r>
      <w:r w:rsidR="009511F9" w:rsidRPr="009511F9">
        <w:t xml:space="preserve">ait punissable </w:t>
      </w:r>
      <w:r>
        <w:t xml:space="preserve">commis </w:t>
      </w:r>
      <w:r w:rsidR="009511F9" w:rsidRPr="009511F9">
        <w:t>dans l'hôpital</w:t>
      </w:r>
      <w:bookmarkEnd w:id="8"/>
    </w:p>
    <w:p w14:paraId="2D4E576B" w14:textId="77777777" w:rsidR="00A63EFE" w:rsidRDefault="009511F9" w:rsidP="00621D1D">
      <w:pPr>
        <w:spacing w:after="120"/>
        <w:rPr>
          <w:lang w:val="fr-BE"/>
        </w:rPr>
      </w:pPr>
      <w:r w:rsidRPr="009511F9">
        <w:rPr>
          <w:lang w:val="fr-BE"/>
        </w:rPr>
        <w:t>Si un patient se rend coupable d'un fait punissable envers un autre patient, un médecin, le personnel hospitalier ou l'hôpital, le médecin peut porter plainte auprès de la police.</w:t>
      </w:r>
    </w:p>
    <w:p w14:paraId="031ABA8F" w14:textId="41866455" w:rsidR="009511F9" w:rsidRPr="009511F9" w:rsidRDefault="009511F9" w:rsidP="00621D1D">
      <w:pPr>
        <w:spacing w:after="120"/>
        <w:rPr>
          <w:lang w:val="fr-BE"/>
        </w:rPr>
      </w:pPr>
      <w:r w:rsidRPr="009511F9">
        <w:rPr>
          <w:lang w:val="fr-BE"/>
        </w:rPr>
        <w:t>Il peut par exemple s'agir de menaces à l'encontre du médecin, de violences physiques à l'égard de collaborateurs de l'hôpital ou d'autres patients, de destructions dans le local de consultation, de la possession d'armes dangereuses, etc.</w:t>
      </w:r>
    </w:p>
    <w:p w14:paraId="76B4A56B" w14:textId="77777777" w:rsidR="009511F9" w:rsidRPr="009511F9" w:rsidRDefault="009511F9" w:rsidP="00621D1D">
      <w:pPr>
        <w:spacing w:after="120"/>
        <w:rPr>
          <w:lang w:val="fr-BE"/>
        </w:rPr>
      </w:pPr>
      <w:r w:rsidRPr="009511F9">
        <w:rPr>
          <w:lang w:val="fr-BE"/>
        </w:rPr>
        <w:t xml:space="preserve">Le médecin donne à la police le nom de l'auteur et le lieu où les faits se sont produits. Les </w:t>
      </w:r>
      <w:r w:rsidRPr="00A63EFE">
        <w:rPr>
          <w:b/>
          <w:lang w:val="fr-BE"/>
        </w:rPr>
        <w:t>données médicales</w:t>
      </w:r>
      <w:r w:rsidRPr="009511F9">
        <w:rPr>
          <w:lang w:val="fr-BE"/>
        </w:rPr>
        <w:t xml:space="preserve"> de l'auteur </w:t>
      </w:r>
      <w:r w:rsidRPr="00A63EFE">
        <w:rPr>
          <w:b/>
          <w:lang w:val="fr-BE"/>
        </w:rPr>
        <w:t>ne sont pas divulguées</w:t>
      </w:r>
      <w:r w:rsidRPr="009511F9">
        <w:rPr>
          <w:lang w:val="fr-BE"/>
        </w:rPr>
        <w:t>.</w:t>
      </w:r>
    </w:p>
    <w:p w14:paraId="6F8A48CE" w14:textId="77777777" w:rsidR="009511F9" w:rsidRPr="009511F9" w:rsidRDefault="009511F9" w:rsidP="00621D1D">
      <w:pPr>
        <w:spacing w:after="120"/>
        <w:rPr>
          <w:lang w:val="fr-BE"/>
        </w:rPr>
      </w:pPr>
      <w:r w:rsidRPr="009511F9">
        <w:rPr>
          <w:lang w:val="fr-BE"/>
        </w:rPr>
        <w:t>La police qui se rend sur place a accès au local où le patient se trouve et où les faits se sont produits pour pouvoir faire les premières constatations.</w:t>
      </w:r>
    </w:p>
    <w:p w14:paraId="5B9CECCD" w14:textId="6FAD0A88" w:rsidR="009511F9" w:rsidRDefault="00AD7939" w:rsidP="00A86D26">
      <w:pPr>
        <w:pStyle w:val="Titre2"/>
      </w:pPr>
      <w:bookmarkStart w:id="9" w:name="_Le_médecin_a"/>
      <w:bookmarkStart w:id="10" w:name="_Toc103007698"/>
      <w:bookmarkEnd w:id="9"/>
      <w:r>
        <w:t>F</w:t>
      </w:r>
      <w:r w:rsidR="009511F9" w:rsidRPr="009511F9">
        <w:t>ait punissable en dehors de l'hôpital - patient auteur ou victime</w:t>
      </w:r>
      <w:bookmarkEnd w:id="10"/>
    </w:p>
    <w:p w14:paraId="35DEB52F" w14:textId="5B58A7BE" w:rsidR="00555810" w:rsidRPr="00555810" w:rsidRDefault="00555810" w:rsidP="00555810">
      <w:pPr>
        <w:pStyle w:val="Titre3"/>
      </w:pPr>
      <w:bookmarkStart w:id="11" w:name="_Toc103007699"/>
      <w:r>
        <w:t>Sur le plan médico-légal</w:t>
      </w:r>
      <w:bookmarkEnd w:id="11"/>
    </w:p>
    <w:p w14:paraId="2E3558BA" w14:textId="77777777" w:rsidR="009511F9" w:rsidRPr="009511F9" w:rsidRDefault="009511F9" w:rsidP="00621D1D">
      <w:pPr>
        <w:spacing w:after="120"/>
        <w:rPr>
          <w:lang w:val="fr-BE"/>
        </w:rPr>
      </w:pPr>
      <w:r w:rsidRPr="009511F9">
        <w:rPr>
          <w:lang w:val="fr-BE"/>
        </w:rPr>
        <w:t>Lorsque le médecin apprend dans l'exercice de sa profession que le patient a commis un fait punissable, cela relève du secret professionnel.</w:t>
      </w:r>
    </w:p>
    <w:p w14:paraId="566B987D" w14:textId="77777777" w:rsidR="009511F9" w:rsidRPr="009511F9" w:rsidRDefault="009511F9" w:rsidP="00621D1D">
      <w:pPr>
        <w:spacing w:after="120"/>
        <w:rPr>
          <w:lang w:val="fr-BE"/>
        </w:rPr>
      </w:pPr>
      <w:r w:rsidRPr="009511F9">
        <w:rPr>
          <w:lang w:val="fr-BE"/>
        </w:rPr>
        <w:t>De même, lorsque le médecin apprend dans l'exercice de sa profession que le patient a été victime d'un fait punissable, cela relève du secret professionnel et le médecin respecte le choix de la victime de ne pas porter plainte auprès de la police.</w:t>
      </w:r>
    </w:p>
    <w:p w14:paraId="57B05E4D" w14:textId="399E5FB9" w:rsidR="009511F9" w:rsidRPr="00E77F4A" w:rsidRDefault="009511F9" w:rsidP="00621D1D">
      <w:pPr>
        <w:spacing w:after="120"/>
        <w:rPr>
          <w:b/>
          <w:lang w:val="fr-BE"/>
        </w:rPr>
      </w:pPr>
      <w:r w:rsidRPr="00E77F4A">
        <w:rPr>
          <w:b/>
          <w:lang w:val="fr-BE"/>
        </w:rPr>
        <w:t>Pour certaines infractions commises sur un mineur ou une personne vulnérable, l'article 458bis du Code pénal dispose que le médecin peut briser son secret professionnel, moyennant le res</w:t>
      </w:r>
      <w:r w:rsidR="00A63EFE" w:rsidRPr="00E77F4A">
        <w:rPr>
          <w:b/>
          <w:lang w:val="fr-BE"/>
        </w:rPr>
        <w:t>pect de certaines conditions.</w:t>
      </w:r>
      <w:r w:rsidRPr="00E77F4A">
        <w:rPr>
          <w:b/>
          <w:lang w:val="fr-BE"/>
        </w:rPr>
        <w:t xml:space="preserve"> C'est le cas en particulier d'infractions qui portent gravement atteinte à l'intégrité physique d'un mineur ou d'une personne vulnérable, comme la traite d'êtres humains, l'assassinat ou des violences conjugales, abus de nature sexuelle, comme un attentat à la pudeur ou le viol d'un enfant </w:t>
      </w:r>
      <w:r w:rsidR="00A63EFE" w:rsidRPr="00E77F4A">
        <w:rPr>
          <w:b/>
          <w:lang w:val="fr-BE"/>
        </w:rPr>
        <w:t>ou d'une personne handicapée.</w:t>
      </w:r>
    </w:p>
    <w:p w14:paraId="4282C345" w14:textId="04BC92C3" w:rsidR="009511F9" w:rsidRPr="00E77F4A" w:rsidRDefault="009511F9" w:rsidP="00621D1D">
      <w:pPr>
        <w:spacing w:after="120"/>
        <w:rPr>
          <w:b/>
          <w:lang w:val="fr-BE"/>
        </w:rPr>
      </w:pPr>
      <w:r w:rsidRPr="00E77F4A">
        <w:rPr>
          <w:b/>
          <w:lang w:val="fr-BE"/>
        </w:rPr>
        <w:t xml:space="preserve">Si le médecin a connaissance d'un délit précité et s'il estime qu'il existe un danger grave et imminent que l'auteur récidive et s'il n'est pas en mesure de protéger, seul ou avec l'aide de tiers, l'intégrité physique ou psychique du mineur ou de la personne vulnérable, il peut en </w:t>
      </w:r>
      <w:r w:rsidR="00621D1D" w:rsidRPr="00E77F4A">
        <w:rPr>
          <w:b/>
          <w:lang w:val="fr-BE"/>
        </w:rPr>
        <w:t>informer le procureur du Roi</w:t>
      </w:r>
      <w:r w:rsidR="00E77F4A" w:rsidRPr="00E77F4A">
        <w:rPr>
          <w:b/>
          <w:lang w:val="fr-BE"/>
        </w:rPr>
        <w:t>.</w:t>
      </w:r>
    </w:p>
    <w:p w14:paraId="227DEB0B" w14:textId="0768EA1D" w:rsidR="009511F9" w:rsidRPr="009511F9" w:rsidRDefault="009511F9" w:rsidP="00621D1D">
      <w:pPr>
        <w:spacing w:after="120"/>
        <w:rPr>
          <w:lang w:val="fr-BE"/>
        </w:rPr>
      </w:pPr>
      <w:r w:rsidRPr="009511F9">
        <w:rPr>
          <w:lang w:val="fr-BE"/>
        </w:rPr>
        <w:t xml:space="preserve">Outre l'exception légale de l'article 458bis du Code pénal, le médecin est soumis à l'article 422bis du Code pénal qui comporte une obligation légale d'assistance envers une personne exposée à un péril grave. Dans certaines situations, il n'est pas évident de concilier ces deux normes, à savoir le secret professionnel et l'obligation légale </w:t>
      </w:r>
      <w:r w:rsidR="00A63EFE">
        <w:rPr>
          <w:lang w:val="fr-BE"/>
        </w:rPr>
        <w:t>d'assistance.</w:t>
      </w:r>
      <w:r w:rsidRPr="009511F9">
        <w:rPr>
          <w:lang w:val="fr-BE"/>
        </w:rPr>
        <w:t xml:space="preserve"> Dans le cas d'un tel conflit de devoirs, « l'état de nécessité » peut être d'application.</w:t>
      </w:r>
    </w:p>
    <w:p w14:paraId="1C7B4429" w14:textId="160E7BBF" w:rsidR="009511F9" w:rsidRDefault="009511F9" w:rsidP="006C5039">
      <w:pPr>
        <w:spacing w:after="120"/>
        <w:rPr>
          <w:lang w:val="fr-BE"/>
        </w:rPr>
      </w:pPr>
      <w:r w:rsidRPr="009511F9">
        <w:rPr>
          <w:lang w:val="fr-BE"/>
        </w:rPr>
        <w:t>Enfin, toute personne qui a été témoin d'une atteinte, soit à la sécurité publique, soit à la vie ou à la propriété d'une personne, est obligée de le signaler au procureur du Roi, soit du lieu du délit ou du crime, soit du lieu o</w:t>
      </w:r>
      <w:r w:rsidR="00ED5AFD">
        <w:rPr>
          <w:lang w:val="fr-BE"/>
        </w:rPr>
        <w:t>ù peut se trouver le suspect.</w:t>
      </w:r>
      <w:r w:rsidRPr="009511F9">
        <w:rPr>
          <w:lang w:val="fr-BE"/>
        </w:rPr>
        <w:t xml:space="preserve"> Dans le cadre de la relation médecin-patient, l'obligation déclarative du médecin, contenue à l'article 30 du Code d'Instruction criminelle, est uniquement valable pour un délit dont un patient a été victime. Si le patient en est l'auteur, le secret professionnel reste d'application.</w:t>
      </w:r>
      <w:r w:rsidR="006C5039">
        <w:rPr>
          <w:lang w:val="fr-BE"/>
        </w:rPr>
        <w:t xml:space="preserve"> </w:t>
      </w:r>
      <w:r w:rsidRPr="009511F9">
        <w:rPr>
          <w:lang w:val="fr-BE"/>
        </w:rPr>
        <w:t>Cependant, il n'est pas exclu que la divulgation des faits soit justifiée en reco</w:t>
      </w:r>
      <w:r w:rsidR="00ED5AFD">
        <w:rPr>
          <w:lang w:val="fr-BE"/>
        </w:rPr>
        <w:t>urant à l'état de nécessité.</w:t>
      </w:r>
      <w:r w:rsidRPr="009511F9">
        <w:rPr>
          <w:lang w:val="fr-BE"/>
        </w:rPr>
        <w:t xml:space="preserve"> Dans une telle situation, le médecin ne transmettra cependant pas d'informations de nature médicale concernant le patient aux services de police.</w:t>
      </w:r>
    </w:p>
    <w:p w14:paraId="44AE0443" w14:textId="08EF3EE6" w:rsidR="00555810" w:rsidRDefault="00555810" w:rsidP="00555810">
      <w:pPr>
        <w:pStyle w:val="Titre3"/>
      </w:pPr>
      <w:bookmarkStart w:id="12" w:name="_Toc103007700"/>
      <w:r>
        <w:t>Organes de soutien contre la violence</w:t>
      </w:r>
      <w:bookmarkEnd w:id="12"/>
    </w:p>
    <w:p w14:paraId="13F81B8B" w14:textId="2025A340" w:rsidR="00555810" w:rsidRDefault="00555810" w:rsidP="00555810">
      <w:pPr>
        <w:numPr>
          <w:ilvl w:val="0"/>
          <w:numId w:val="31"/>
        </w:numPr>
        <w:rPr>
          <w:lang w:val="fr-BE"/>
        </w:rPr>
      </w:pPr>
      <w:r>
        <w:rPr>
          <w:lang w:val="fr-BE"/>
        </w:rPr>
        <w:t xml:space="preserve">La violence intrafamiliale, la brochure </w:t>
      </w:r>
      <w:hyperlink r:id="rId18" w:history="1">
        <w:r w:rsidRPr="00A979C4">
          <w:rPr>
            <w:rStyle w:val="Lienhypertexte"/>
            <w:lang w:val="fr-BE"/>
          </w:rPr>
          <w:t>HAP - Violence conjugale - Vif Borain- GED-INFO-00287</w:t>
        </w:r>
      </w:hyperlink>
      <w:r>
        <w:rPr>
          <w:lang w:val="fr-BE"/>
        </w:rPr>
        <w:t xml:space="preserve"> </w:t>
      </w:r>
      <w:r w:rsidR="000B1B47">
        <w:rPr>
          <w:lang w:val="fr-BE"/>
        </w:rPr>
        <w:t xml:space="preserve">et le site </w:t>
      </w:r>
    </w:p>
    <w:p w14:paraId="44A3B32A" w14:textId="60378DF3" w:rsidR="008B415D" w:rsidRDefault="008B415D" w:rsidP="00555810">
      <w:pPr>
        <w:numPr>
          <w:ilvl w:val="0"/>
          <w:numId w:val="31"/>
        </w:numPr>
        <w:rPr>
          <w:lang w:val="fr-BE"/>
        </w:rPr>
      </w:pPr>
      <w:r>
        <w:rPr>
          <w:lang w:val="fr-BE"/>
        </w:rPr>
        <w:t xml:space="preserve">Le site </w:t>
      </w:r>
      <w:hyperlink r:id="rId19" w:history="1">
        <w:r w:rsidRPr="008B415D">
          <w:rPr>
            <w:rStyle w:val="Lienhypertexte"/>
            <w:lang w:val="fr-BE"/>
          </w:rPr>
          <w:t>http://www.victimes.cfwb.be/ou-trouver-aide/</w:t>
        </w:r>
      </w:hyperlink>
    </w:p>
    <w:p w14:paraId="4E4D7B64" w14:textId="316CCA9E" w:rsidR="008B415D" w:rsidRDefault="008B415D" w:rsidP="00555810">
      <w:pPr>
        <w:numPr>
          <w:ilvl w:val="0"/>
          <w:numId w:val="31"/>
        </w:numPr>
        <w:rPr>
          <w:lang w:val="fr-BE"/>
        </w:rPr>
      </w:pPr>
      <w:r>
        <w:rPr>
          <w:lang w:val="fr-BE"/>
        </w:rPr>
        <w:t xml:space="preserve">Le site du centre des violences sexuelles </w:t>
      </w:r>
      <w:hyperlink r:id="rId20" w:anchor=":~:text=Pour%20d%C3%A9poser%20une%20plainte%2C%20un,pour%20obtenir%20un%20rendez%2Dvous." w:history="1">
        <w:r w:rsidRPr="008B415D">
          <w:rPr>
            <w:rStyle w:val="Lienhypertexte"/>
            <w:lang w:val="fr-BE"/>
          </w:rPr>
          <w:t>https://www.violencessexuelles.be</w:t>
        </w:r>
      </w:hyperlink>
    </w:p>
    <w:p w14:paraId="35A5E69E" w14:textId="078954BB" w:rsidR="004E5DCD" w:rsidRDefault="000B1B47" w:rsidP="00555810">
      <w:pPr>
        <w:numPr>
          <w:ilvl w:val="0"/>
          <w:numId w:val="31"/>
        </w:numPr>
        <w:rPr>
          <w:lang w:val="fr-BE"/>
        </w:rPr>
      </w:pPr>
      <w:r>
        <w:rPr>
          <w:lang w:val="fr-BE"/>
        </w:rPr>
        <w:t>Quelques numéros précieux :</w:t>
      </w:r>
    </w:p>
    <w:p w14:paraId="3A843D5F" w14:textId="214D48D2" w:rsidR="000B1B47" w:rsidRDefault="000B1B47" w:rsidP="000B1B47">
      <w:pPr>
        <w:numPr>
          <w:ilvl w:val="1"/>
          <w:numId w:val="31"/>
        </w:numPr>
        <w:rPr>
          <w:lang w:val="fr-BE"/>
        </w:rPr>
      </w:pPr>
      <w:r>
        <w:rPr>
          <w:lang w:val="fr-BE"/>
        </w:rPr>
        <w:t>écoute violences conjugales : 0800 30 030</w:t>
      </w:r>
    </w:p>
    <w:p w14:paraId="2CEF5F75" w14:textId="640227A2" w:rsidR="000B1B47" w:rsidRDefault="000B1B47" w:rsidP="000B1B47">
      <w:pPr>
        <w:numPr>
          <w:ilvl w:val="1"/>
          <w:numId w:val="31"/>
        </w:numPr>
        <w:rPr>
          <w:lang w:val="fr-BE"/>
        </w:rPr>
      </w:pPr>
      <w:r>
        <w:rPr>
          <w:lang w:val="fr-BE"/>
        </w:rPr>
        <w:t>SOS Viol ; 0800 98 100</w:t>
      </w:r>
    </w:p>
    <w:p w14:paraId="41B76D1C" w14:textId="5D8E5CFD" w:rsidR="00A40344" w:rsidRDefault="00A40344" w:rsidP="000B1B47">
      <w:pPr>
        <w:numPr>
          <w:ilvl w:val="1"/>
          <w:numId w:val="31"/>
        </w:numPr>
        <w:rPr>
          <w:lang w:val="fr-BE"/>
        </w:rPr>
      </w:pPr>
      <w:r>
        <w:rPr>
          <w:lang w:val="fr-BE"/>
        </w:rPr>
        <w:t>Respect seniors : 0800 30 330</w:t>
      </w:r>
    </w:p>
    <w:p w14:paraId="5A333C54" w14:textId="3A3758CC" w:rsidR="009511F9" w:rsidRPr="009511F9" w:rsidRDefault="007D018B" w:rsidP="00A86D26">
      <w:pPr>
        <w:pStyle w:val="Titre2"/>
      </w:pPr>
      <w:bookmarkStart w:id="13" w:name="_Toc103007701"/>
      <w:r>
        <w:t>P</w:t>
      </w:r>
      <w:r w:rsidR="009511F9" w:rsidRPr="009511F9">
        <w:t>atient</w:t>
      </w:r>
      <w:r w:rsidR="00E77F4A">
        <w:t xml:space="preserve"> </w:t>
      </w:r>
      <w:r>
        <w:t>porteur de stupéfiants –</w:t>
      </w:r>
      <w:r w:rsidR="00E77F4A">
        <w:t xml:space="preserve"> </w:t>
      </w:r>
      <w:r>
        <w:t>d’a</w:t>
      </w:r>
      <w:r w:rsidR="00E77F4A">
        <w:t>rmes</w:t>
      </w:r>
      <w:bookmarkEnd w:id="13"/>
    </w:p>
    <w:p w14:paraId="7A9E4199" w14:textId="388143FC" w:rsidR="009511F9" w:rsidRPr="009511F9" w:rsidRDefault="009511F9" w:rsidP="00C02406">
      <w:pPr>
        <w:spacing w:after="120"/>
        <w:rPr>
          <w:lang w:val="fr-BE"/>
        </w:rPr>
      </w:pPr>
      <w:r w:rsidRPr="009511F9">
        <w:rPr>
          <w:lang w:val="fr-BE"/>
        </w:rPr>
        <w:t>Le médecin qui découvre pendant l'examen ou le traitement des stupéfiants sur ou dans le corps d'un patient remet ces stupéfiants, dans les plus brefs délais, aux services de police sans mentionner de données à caractère personnel ou médical du patient, à moins qu'il ne soit question d'une exception a</w:t>
      </w:r>
      <w:r w:rsidR="006C5039">
        <w:rPr>
          <w:lang w:val="fr-BE"/>
        </w:rPr>
        <w:t>u secret professionnel</w:t>
      </w:r>
      <w:r w:rsidRPr="009511F9">
        <w:rPr>
          <w:lang w:val="fr-BE"/>
        </w:rPr>
        <w:t>. Ceci est communiqué au patient et indiqué dans son dossier. Il est primordial que le patient continue à avoir confiance dans le médecin et les soins qu'il lui prodigue et qu'il lui soit clairement expliqué que le médecin n'a pas de compétence de recherche et que son identité ne sera pas divulguée aux services de police.</w:t>
      </w:r>
      <w:r w:rsidR="006C5039">
        <w:rPr>
          <w:lang w:val="fr-BE"/>
        </w:rPr>
        <w:t xml:space="preserve"> </w:t>
      </w:r>
      <w:r w:rsidR="00E77F4A">
        <w:rPr>
          <w:lang w:val="fr-BE"/>
        </w:rPr>
        <w:t xml:space="preserve">Il en va de même en ce qui concerne les armes. </w:t>
      </w:r>
      <w:r w:rsidR="006C5039">
        <w:rPr>
          <w:lang w:val="fr-BE"/>
        </w:rPr>
        <w:t xml:space="preserve">Voir </w:t>
      </w:r>
      <w:hyperlink r:id="rId21" w:history="1">
        <w:r w:rsidR="00C02406" w:rsidRPr="00C02406">
          <w:rPr>
            <w:rStyle w:val="Lienhypertexte"/>
            <w:lang w:val="fr-BE"/>
          </w:rPr>
          <w:t>Consignes en présence d’armes et/ou de drogues - GED-MO-00252</w:t>
        </w:r>
      </w:hyperlink>
      <w:r w:rsidR="00C02406">
        <w:rPr>
          <w:lang w:val="fr-BE"/>
        </w:rPr>
        <w:t xml:space="preserve"> .</w:t>
      </w:r>
      <w:r w:rsidR="004E5DCD">
        <w:rPr>
          <w:lang w:val="fr-BE"/>
        </w:rPr>
        <w:t xml:space="preserve"> Si par après la police souhaite connaître l’identité du patient, elle devra présenter un mandat du procureur du Roi ou du juge d’instruction.</w:t>
      </w:r>
    </w:p>
    <w:p w14:paraId="76A715D1" w14:textId="1BF9537D" w:rsidR="009511F9" w:rsidRPr="009511F9" w:rsidRDefault="009511F9" w:rsidP="00A86D26">
      <w:pPr>
        <w:pStyle w:val="Titre2"/>
      </w:pPr>
      <w:bookmarkStart w:id="14" w:name="_Toc103007702"/>
      <w:r w:rsidRPr="009511F9">
        <w:t>Patient sous surveillance policière</w:t>
      </w:r>
      <w:bookmarkEnd w:id="14"/>
    </w:p>
    <w:p w14:paraId="02FCF4B5" w14:textId="77777777" w:rsidR="009511F9" w:rsidRPr="009511F9" w:rsidRDefault="009511F9" w:rsidP="00E74CAF">
      <w:pPr>
        <w:spacing w:after="120"/>
        <w:rPr>
          <w:lang w:val="fr-BE"/>
        </w:rPr>
      </w:pPr>
      <w:r w:rsidRPr="009511F9">
        <w:rPr>
          <w:lang w:val="fr-BE"/>
        </w:rPr>
        <w:t>Si la police estime qu'un patient accompagné d'agents constitue une menace pour l'intégrité (physique) du personnel hospitalier, le médecin autorise la police à être présente dans la zone de traitement ou dans l'environnement immédiat.</w:t>
      </w:r>
    </w:p>
    <w:p w14:paraId="04547E7F" w14:textId="77777777" w:rsidR="009511F9" w:rsidRPr="009511F9" w:rsidRDefault="009511F9" w:rsidP="00E74CAF">
      <w:pPr>
        <w:spacing w:after="120"/>
        <w:rPr>
          <w:lang w:val="fr-BE"/>
        </w:rPr>
      </w:pPr>
      <w:r w:rsidRPr="009511F9">
        <w:rPr>
          <w:lang w:val="fr-BE"/>
        </w:rPr>
        <w:t>Le médecin respecte la décision de la police de laisser le patient menotté et peut uniquement s'opposer à cette décision pour des raisons médicales, par exemple lorsque les menottes du patient empêchent fortement la dispense de soins. Dans ce cas, le médecin et les services de police se concertent sur la façon dont ils peuvent, chacun, remplir leurs tâches de façon sécurisée et qualitative. Les deux sont tenus au respect de l'obligation légale d'assistance telle que prévue à l'article 422bis du Code pénal.</w:t>
      </w:r>
    </w:p>
    <w:p w14:paraId="71ED36AF" w14:textId="0FFE0701" w:rsidR="009511F9" w:rsidRPr="009511F9" w:rsidRDefault="009511F9" w:rsidP="00A86D26">
      <w:pPr>
        <w:pStyle w:val="Titre2"/>
      </w:pPr>
      <w:bookmarkStart w:id="15" w:name="_Toc103007703"/>
      <w:r w:rsidRPr="009511F9">
        <w:t>Donner priorité à la police au service des urgences</w:t>
      </w:r>
      <w:bookmarkEnd w:id="15"/>
    </w:p>
    <w:p w14:paraId="127F31E2" w14:textId="7CC6ED5B" w:rsidR="00A86D26" w:rsidRDefault="009511F9" w:rsidP="00E74CAF">
      <w:pPr>
        <w:spacing w:after="120"/>
        <w:rPr>
          <w:lang w:val="fr-BE"/>
        </w:rPr>
      </w:pPr>
      <w:r w:rsidRPr="009511F9">
        <w:rPr>
          <w:lang w:val="fr-BE"/>
        </w:rPr>
        <w:t>Pour autant que l'urgence des soins à prodiguer à d'autres patients le permette, le médecin donne priorité au patient sous surveillance policière ou à l'agent de police qui, dans l'exercice de ses fonctions, est lui-même blessé ou a besoin de soins.</w:t>
      </w:r>
    </w:p>
    <w:p w14:paraId="1C688386" w14:textId="08D5F0AF" w:rsidR="009511F9" w:rsidRPr="009511F9" w:rsidRDefault="009511F9" w:rsidP="00A86D26">
      <w:pPr>
        <w:pStyle w:val="Titre2"/>
      </w:pPr>
      <w:bookmarkStart w:id="16" w:name="_Toc103007704"/>
      <w:r w:rsidRPr="009511F9">
        <w:t>La police pénètre dans l'hôpital</w:t>
      </w:r>
      <w:bookmarkEnd w:id="16"/>
    </w:p>
    <w:p w14:paraId="708A6DFD" w14:textId="77777777" w:rsidR="009511F9" w:rsidRPr="009511F9" w:rsidRDefault="009511F9" w:rsidP="00E74CAF">
      <w:pPr>
        <w:spacing w:after="120"/>
        <w:rPr>
          <w:lang w:val="fr-BE"/>
        </w:rPr>
      </w:pPr>
      <w:r w:rsidRPr="009511F9">
        <w:rPr>
          <w:lang w:val="fr-BE"/>
        </w:rPr>
        <w:t>La police peut pénétrer librement dans les espaces publics, tels que le hall d'accueil, la salle d'attente et les couloirs de l'hôpital.</w:t>
      </w:r>
    </w:p>
    <w:p w14:paraId="6C07B1A1" w14:textId="77777777" w:rsidR="009511F9" w:rsidRPr="009511F9" w:rsidRDefault="009511F9" w:rsidP="00E74CAF">
      <w:pPr>
        <w:spacing w:after="120"/>
        <w:rPr>
          <w:lang w:val="fr-BE"/>
        </w:rPr>
      </w:pPr>
      <w:r w:rsidRPr="009511F9">
        <w:rPr>
          <w:lang w:val="fr-BE"/>
        </w:rPr>
        <w:t>Il est uniquement permis de pénétrer dans le local de consultation moyennant l'accord du patient et du médecin traitant. Ce dernier s'y opposera seulement si cette intrusion dans le local empêche gravement la dispense de soins.</w:t>
      </w:r>
    </w:p>
    <w:p w14:paraId="06FBA992" w14:textId="77777777" w:rsidR="009511F9" w:rsidRPr="009511F9" w:rsidRDefault="009511F9" w:rsidP="00E74CAF">
      <w:pPr>
        <w:spacing w:after="120"/>
        <w:rPr>
          <w:lang w:val="fr-BE"/>
        </w:rPr>
      </w:pPr>
      <w:r w:rsidRPr="009511F9">
        <w:rPr>
          <w:lang w:val="fr-BE"/>
        </w:rPr>
        <w:t>Il est seulement autorisé de pénétrer dans la chambre du patient moyennant son autorisation, sauf en cas de flagrant délit ou sur ordre du juge d'instruction conformément à l'article 89bis du Code d'Instruction criminelle.</w:t>
      </w:r>
    </w:p>
    <w:p w14:paraId="750B2562" w14:textId="3E8BA6FC" w:rsidR="009511F9" w:rsidRPr="009511F9" w:rsidRDefault="009511F9" w:rsidP="00A86D26">
      <w:pPr>
        <w:pStyle w:val="Titre2"/>
      </w:pPr>
      <w:bookmarkStart w:id="17" w:name="_La_police_demande"/>
      <w:bookmarkStart w:id="18" w:name="_Toc103007705"/>
      <w:bookmarkEnd w:id="17"/>
      <w:r w:rsidRPr="009511F9">
        <w:t>La police demande des informations</w:t>
      </w:r>
      <w:bookmarkEnd w:id="18"/>
    </w:p>
    <w:p w14:paraId="47A61CE8" w14:textId="77777777" w:rsidR="009511F9" w:rsidRPr="009511F9" w:rsidRDefault="009511F9" w:rsidP="00E74CAF">
      <w:pPr>
        <w:spacing w:after="120"/>
        <w:rPr>
          <w:lang w:val="fr-BE"/>
        </w:rPr>
      </w:pPr>
      <w:r w:rsidRPr="009511F9">
        <w:rPr>
          <w:lang w:val="fr-BE"/>
        </w:rPr>
        <w:t>Les services de police qui mènent l'enquête essayent de recueillir autant d'informations que possible, notamment des informations médicales sur un auteur potentiel ou une victime.</w:t>
      </w:r>
    </w:p>
    <w:p w14:paraId="56E3C22C" w14:textId="5375F2DC" w:rsidR="009511F9" w:rsidRPr="009511F9" w:rsidRDefault="009511F9" w:rsidP="00E74CAF">
      <w:pPr>
        <w:spacing w:after="120"/>
        <w:rPr>
          <w:lang w:val="fr-BE"/>
        </w:rPr>
      </w:pPr>
      <w:r w:rsidRPr="009511F9">
        <w:rPr>
          <w:lang w:val="fr-BE"/>
        </w:rPr>
        <w:t>Le médecin traitant est tenu au respect du secret professionnel et ne peut en principe pas transmettre d'informations médicales aux services de police. Ceci complique l'enquête et n'est pas favorable, plus tard, à la découverte de la vérité par le juge, en particulier lorsque l'agent de police interprète la situation médicale d'une façon qui ne correspond pas complèt</w:t>
      </w:r>
      <w:r w:rsidR="00E74CAF">
        <w:rPr>
          <w:lang w:val="fr-BE"/>
        </w:rPr>
        <w:t>ement à la réalité médicale.</w:t>
      </w:r>
    </w:p>
    <w:p w14:paraId="718889E4" w14:textId="77777777" w:rsidR="009511F9" w:rsidRPr="009511F9" w:rsidRDefault="009511F9" w:rsidP="00E74CAF">
      <w:pPr>
        <w:spacing w:after="120"/>
        <w:rPr>
          <w:lang w:val="fr-BE"/>
        </w:rPr>
      </w:pPr>
      <w:r w:rsidRPr="009511F9">
        <w:rPr>
          <w:lang w:val="fr-BE"/>
        </w:rPr>
        <w:t>La relation de confiance entre le médecin et le patient prime et le médecin doit être très prudent quant à la violation du secret professionnel. Une attitude trop laxiste par rapport au secret professionnel peut entraîner des risques plus grands que les dangers ou inconvénients qui peuvent éventuellement être prévenus.</w:t>
      </w:r>
    </w:p>
    <w:p w14:paraId="20E8D751" w14:textId="60761C3F" w:rsidR="009511F9" w:rsidRPr="009511F9" w:rsidRDefault="009511F9" w:rsidP="00E74CAF">
      <w:pPr>
        <w:spacing w:after="120"/>
        <w:rPr>
          <w:lang w:val="fr-BE"/>
        </w:rPr>
      </w:pPr>
      <w:r w:rsidRPr="009511F9">
        <w:rPr>
          <w:lang w:val="fr-BE"/>
        </w:rPr>
        <w:t>Cependant, le patient peut être demandeur de communiquer des informations médicales aux services de police ou au parquet. Le patient a le droit de disposer lui-même des informations médicales le concernant et de collaborer avec les services de police. Dans ce cas, le médecin peut accepter de rédiger une attestation médicale spécifique, comprenant de</w:t>
      </w:r>
      <w:r w:rsidR="00E74CAF">
        <w:rPr>
          <w:lang w:val="fr-BE"/>
        </w:rPr>
        <w:t>s données médicales limitées</w:t>
      </w:r>
      <w:r w:rsidRPr="009511F9">
        <w:rPr>
          <w:lang w:val="fr-BE"/>
        </w:rPr>
        <w:t>, qui est remise à la police par l'intermédiaire du patient. Le médecin a pour tâche de protéger le patient de la transmission de ses données médicales à des tiers et de l'informer des conséquences possibles du transfert de ses données médicales aux services de police.</w:t>
      </w:r>
    </w:p>
    <w:p w14:paraId="49489F4E" w14:textId="77777777" w:rsidR="009511F9" w:rsidRPr="009511F9" w:rsidRDefault="009511F9" w:rsidP="00E74CAF">
      <w:pPr>
        <w:spacing w:after="120"/>
        <w:rPr>
          <w:lang w:val="fr-BE"/>
        </w:rPr>
      </w:pPr>
      <w:r w:rsidRPr="009511F9">
        <w:rPr>
          <w:lang w:val="fr-BE"/>
        </w:rPr>
        <w:t>Le médecin note dans le dossier patient s'il a rédigé une attestation, quel en était le contenu et s'il a délivré ce document au patient ou directement aux services de police à la demande du patient.</w:t>
      </w:r>
    </w:p>
    <w:p w14:paraId="6148D8DA" w14:textId="77777777" w:rsidR="009511F9" w:rsidRPr="009511F9" w:rsidRDefault="009511F9" w:rsidP="00E74CAF">
      <w:pPr>
        <w:spacing w:after="120"/>
        <w:rPr>
          <w:lang w:val="fr-BE"/>
        </w:rPr>
      </w:pPr>
      <w:r w:rsidRPr="009511F9">
        <w:rPr>
          <w:lang w:val="fr-BE"/>
        </w:rPr>
        <w:t>Enfin, le médecin informe le patient de la possibilité de rédiger un rapport médical circonstancié. Le patient peut opter pour ajouter ce rapport au dossier de police, éventuellement ultérieurement. Le cas échéant, le médecin adresse le rapport sous pli fermé à l'éventuel médecin expert judiciaire et le transmet aux services de police avec la mention « secret médical ».</w:t>
      </w:r>
    </w:p>
    <w:p w14:paraId="113825D5" w14:textId="01A783E0" w:rsidR="009511F9" w:rsidRPr="009511F9" w:rsidRDefault="009511F9" w:rsidP="00E74CAF">
      <w:pPr>
        <w:spacing w:after="120"/>
        <w:rPr>
          <w:lang w:val="fr-BE"/>
        </w:rPr>
      </w:pPr>
      <w:r w:rsidRPr="009511F9">
        <w:rPr>
          <w:lang w:val="fr-BE"/>
        </w:rPr>
        <w:t>Si le patient n'est pas capable d'exprimer sa volonté, il est d'usage que le médecin transmette un certificat médical, avec un nombre limité de données médicales, au représentant du patient ou</w:t>
      </w:r>
      <w:r w:rsidR="00AC5C82">
        <w:rPr>
          <w:lang w:val="fr-BE"/>
        </w:rPr>
        <w:t xml:space="preserve"> à des membres de la famille</w:t>
      </w:r>
      <w:r w:rsidRPr="009511F9">
        <w:rPr>
          <w:lang w:val="fr-BE"/>
        </w:rPr>
        <w:t xml:space="preserve"> en cas d'absence du représentant.</w:t>
      </w:r>
    </w:p>
    <w:p w14:paraId="2CCA1B68" w14:textId="54DF5D28" w:rsidR="009511F9" w:rsidRPr="009511F9" w:rsidRDefault="009511F9" w:rsidP="00E74CAF">
      <w:pPr>
        <w:spacing w:after="120"/>
        <w:rPr>
          <w:lang w:val="fr-BE"/>
        </w:rPr>
      </w:pPr>
      <w:r w:rsidRPr="009511F9">
        <w:rPr>
          <w:lang w:val="fr-BE"/>
        </w:rPr>
        <w:t>En cas d'absence du représentant ou des membres de la famille, le médecin peut remettre, dans l'intérêt du patient, un certificat médical avec un nombre limité de données médicales aux services de police après avoir considéré le principe de proportionnalité et si néc</w:t>
      </w:r>
      <w:r w:rsidR="00AC5C82">
        <w:rPr>
          <w:lang w:val="fr-BE"/>
        </w:rPr>
        <w:t>essaire.</w:t>
      </w:r>
    </w:p>
    <w:p w14:paraId="2E751AC5" w14:textId="152F200B" w:rsidR="009511F9" w:rsidRPr="009511F9" w:rsidRDefault="009511F9" w:rsidP="00A86D26">
      <w:pPr>
        <w:pStyle w:val="Titre2"/>
      </w:pPr>
      <w:bookmarkStart w:id="19" w:name="_Toc103007706"/>
      <w:r w:rsidRPr="009511F9">
        <w:t>Interrogatoire à l'hôpital</w:t>
      </w:r>
      <w:bookmarkEnd w:id="19"/>
    </w:p>
    <w:p w14:paraId="5D90B6BB" w14:textId="77777777" w:rsidR="009511F9" w:rsidRPr="009511F9" w:rsidRDefault="009511F9" w:rsidP="00AC5C82">
      <w:pPr>
        <w:spacing w:after="120"/>
        <w:rPr>
          <w:lang w:val="fr-BE"/>
        </w:rPr>
      </w:pPr>
      <w:r w:rsidRPr="009511F9">
        <w:rPr>
          <w:lang w:val="fr-BE"/>
        </w:rPr>
        <w:t>Si la police estime qu'il est nécessaire d'auditionner l'auteur potentiel ou la victime à l'hôpital, le médecin autorise la police à accéder à la zone de traitement ou à la chambre du patient, si le patient y consent et si sa situation médicale le permet.</w:t>
      </w:r>
    </w:p>
    <w:p w14:paraId="21CF7E75" w14:textId="575371EC" w:rsidR="009511F9" w:rsidRPr="009511F9" w:rsidRDefault="009511F9" w:rsidP="00A86D26">
      <w:pPr>
        <w:pStyle w:val="Titre2"/>
      </w:pPr>
      <w:bookmarkStart w:id="20" w:name="_Toc103007707"/>
      <w:r w:rsidRPr="009511F9">
        <w:t>Personnes disparues</w:t>
      </w:r>
      <w:bookmarkEnd w:id="20"/>
    </w:p>
    <w:p w14:paraId="30330A73" w14:textId="77777777" w:rsidR="009511F9" w:rsidRPr="009511F9" w:rsidRDefault="009511F9" w:rsidP="00AC5C82">
      <w:pPr>
        <w:spacing w:after="120"/>
        <w:rPr>
          <w:lang w:val="fr-BE"/>
        </w:rPr>
      </w:pPr>
      <w:r w:rsidRPr="009511F9">
        <w:rPr>
          <w:lang w:val="fr-BE"/>
        </w:rPr>
        <w:t>Lorsqu'une personne est signalée disparue, la police a de nombreuses raisons de prendre contact avec le médecin traitant de cette personne ou avec les hôpitaux environnants.</w:t>
      </w:r>
    </w:p>
    <w:p w14:paraId="64B12797" w14:textId="6C5459B6" w:rsidR="009511F9" w:rsidRPr="009511F9" w:rsidRDefault="009511F9" w:rsidP="00A86D26">
      <w:pPr>
        <w:pStyle w:val="Titre3"/>
      </w:pPr>
      <w:bookmarkStart w:id="21" w:name="_Toc103007708"/>
      <w:r w:rsidRPr="009511F9">
        <w:t>Appréciation du caractère « inquiétant » de la disparition</w:t>
      </w:r>
      <w:bookmarkEnd w:id="21"/>
    </w:p>
    <w:p w14:paraId="31A3FA50" w14:textId="77777777" w:rsidR="009511F9" w:rsidRPr="009511F9" w:rsidRDefault="009511F9" w:rsidP="009511F9">
      <w:pPr>
        <w:rPr>
          <w:lang w:val="fr-BE"/>
        </w:rPr>
      </w:pPr>
      <w:r w:rsidRPr="009511F9">
        <w:rPr>
          <w:lang w:val="fr-BE"/>
        </w:rPr>
        <w:t>La police peut être obligée de demander les informations médicales de la personne disparue pour évaluer le « caractère inquiétant » de la disparition. Le médecin traitant de la personne disparue peut uniquement communiquer avec les services de police si la disparition, au vu de la situation médicale du patient, menace potentiellement le pronostic vital, par exemple parce que le patient est suicidaire, qu'il est dépendant d'une médication vitale ou qu'il y a un risque de désorientation.</w:t>
      </w:r>
    </w:p>
    <w:p w14:paraId="31F9FB36" w14:textId="352E609A" w:rsidR="009511F9" w:rsidRPr="009511F9" w:rsidRDefault="009511F9" w:rsidP="0086694B">
      <w:pPr>
        <w:pStyle w:val="Titre3"/>
      </w:pPr>
      <w:bookmarkStart w:id="22" w:name="_Toc103007709"/>
      <w:r w:rsidRPr="009511F9">
        <w:t>Recherche du patient</w:t>
      </w:r>
      <w:bookmarkEnd w:id="22"/>
    </w:p>
    <w:p w14:paraId="1E14FA2E" w14:textId="77777777" w:rsidR="009511F9" w:rsidRPr="009511F9" w:rsidRDefault="009511F9" w:rsidP="009511F9">
      <w:pPr>
        <w:rPr>
          <w:lang w:val="fr-BE"/>
        </w:rPr>
      </w:pPr>
      <w:r w:rsidRPr="009511F9">
        <w:rPr>
          <w:lang w:val="fr-BE"/>
        </w:rPr>
        <w:t>Sur la base de la directive ministérielle du 26 avril 2014 relative à la « Recherche des personnes disparues », les services de police prendront contact avec les hôpitaux environnants en cas de « disparition inquiétante ».</w:t>
      </w:r>
    </w:p>
    <w:p w14:paraId="7ABB45E2" w14:textId="77777777" w:rsidR="009511F9" w:rsidRPr="00AC5C82" w:rsidRDefault="009511F9" w:rsidP="009511F9">
      <w:pPr>
        <w:rPr>
          <w:b/>
          <w:lang w:val="fr-BE"/>
        </w:rPr>
      </w:pPr>
      <w:r w:rsidRPr="00AC5C82">
        <w:rPr>
          <w:b/>
          <w:lang w:val="fr-BE"/>
        </w:rPr>
        <w:t>Pour éviter de poursuivre inutilement les recherches, le médecin concerné peut informer les services de police de la présence ou non du patient dans l'hôpital, sans divulguer les données médicales du patient.</w:t>
      </w:r>
    </w:p>
    <w:p w14:paraId="07F0ED66" w14:textId="05D780C4" w:rsidR="009511F9" w:rsidRPr="009511F9" w:rsidRDefault="009511F9" w:rsidP="009511F9">
      <w:pPr>
        <w:rPr>
          <w:lang w:val="fr-BE"/>
        </w:rPr>
      </w:pPr>
      <w:r w:rsidRPr="009511F9">
        <w:rPr>
          <w:lang w:val="fr-BE"/>
        </w:rPr>
        <w:t>Des problèmes concrets se posent quand le patient souhaite garder secrète son admission à l'hôpital pour son entourage. D'une part, le droit à la vie privée du patient concerné doit être respecté ; d'autre part, il convient d'éviter de poursuivre les recherches. Dans ce cas, il est recommandé de faire appel à un intermédiaire, par exemple le président d'un Conseil provincial de l'Ordre des médecins, ou un membre du conseil délégué, qui communique au magistrat du parquet compétent qu'il n'y a pas de raisons de considérer la disparition comme « inqui</w:t>
      </w:r>
      <w:r w:rsidR="00AC5C82">
        <w:rPr>
          <w:lang w:val="fr-BE"/>
        </w:rPr>
        <w:t>étante »</w:t>
      </w:r>
      <w:r w:rsidRPr="009511F9">
        <w:rPr>
          <w:lang w:val="fr-BE"/>
        </w:rPr>
        <w:t>.</w:t>
      </w:r>
    </w:p>
    <w:p w14:paraId="0BF33BC5" w14:textId="77777777" w:rsidR="009511F9" w:rsidRPr="009511F9" w:rsidRDefault="009511F9" w:rsidP="009511F9">
      <w:pPr>
        <w:rPr>
          <w:lang w:val="fr-BE"/>
        </w:rPr>
      </w:pPr>
      <w:r w:rsidRPr="00AC5C82">
        <w:rPr>
          <w:b/>
          <w:lang w:val="fr-BE"/>
        </w:rPr>
        <w:t>En ce qui concerne la recherche de délinquants, le médecin confronte le secret professionnel à l'intérêt général</w:t>
      </w:r>
      <w:r w:rsidRPr="009511F9">
        <w:rPr>
          <w:lang w:val="fr-BE"/>
        </w:rPr>
        <w:t>.</w:t>
      </w:r>
    </w:p>
    <w:p w14:paraId="3632CD61" w14:textId="11215492" w:rsidR="009511F9" w:rsidRPr="009511F9" w:rsidRDefault="009511F9" w:rsidP="0086694B">
      <w:pPr>
        <w:pStyle w:val="Titre3"/>
      </w:pPr>
      <w:bookmarkStart w:id="23" w:name="_Toc103007710"/>
      <w:r w:rsidRPr="009511F9">
        <w:t>Pour la rédaction d'un dossier ante mortem</w:t>
      </w:r>
      <w:bookmarkEnd w:id="23"/>
    </w:p>
    <w:p w14:paraId="0358E653" w14:textId="575CAC0F" w:rsidR="009511F9" w:rsidRPr="009511F9" w:rsidRDefault="009511F9" w:rsidP="00E7179B">
      <w:pPr>
        <w:spacing w:after="120"/>
        <w:rPr>
          <w:lang w:val="fr-BE"/>
        </w:rPr>
      </w:pPr>
      <w:r w:rsidRPr="009511F9">
        <w:rPr>
          <w:lang w:val="fr-BE"/>
        </w:rPr>
        <w:t>Le service Disaster Victim Identification (DVI) de la Police fédérale a, notamment, pour tâche d'identifier les victimes décédées sur la base d'une comparaison entre le dossier ante morte</w:t>
      </w:r>
      <w:r w:rsidR="00E7179B">
        <w:rPr>
          <w:lang w:val="fr-BE"/>
        </w:rPr>
        <w:t>m et le dossier post mortem.</w:t>
      </w:r>
    </w:p>
    <w:p w14:paraId="0D29E71C" w14:textId="77777777" w:rsidR="009511F9" w:rsidRPr="009511F9" w:rsidRDefault="009511F9" w:rsidP="00E7179B">
      <w:pPr>
        <w:spacing w:after="120"/>
        <w:rPr>
          <w:lang w:val="fr-BE"/>
        </w:rPr>
      </w:pPr>
      <w:r w:rsidRPr="009511F9">
        <w:rPr>
          <w:lang w:val="fr-BE"/>
        </w:rPr>
        <w:t>En vue de la préparation d'une identification d'une victime potentielle, un médecin expert judiciaire peut être désigné, sur ordre du Procureur du Roi ou du juge d'instruction, pour la constitution d'un dossier ante mortem. Dans ce cas, le médecin traitant transmettra le dossier patient de la personne disparue aux services de police, sous pli fermé, adressé au médecin expert judiciaire, avec la mention « secret médical ». Le médecin expert judiciaire appréciera les données issues du dossier patient qui sont nécessaires à la rédaction du dossier ante mortem.</w:t>
      </w:r>
    </w:p>
    <w:p w14:paraId="10C3C176" w14:textId="77777777" w:rsidR="009511F9" w:rsidRPr="009511F9" w:rsidRDefault="009511F9" w:rsidP="00E7179B">
      <w:pPr>
        <w:spacing w:after="120"/>
        <w:rPr>
          <w:lang w:val="fr-BE"/>
        </w:rPr>
      </w:pPr>
      <w:r w:rsidRPr="009511F9">
        <w:rPr>
          <w:lang w:val="fr-BE"/>
        </w:rPr>
        <w:t>L'accès au dossier patient par les services de police en vue de la rédaction d'un dossier ante mortem implique une violation du secret professionnel.</w:t>
      </w:r>
    </w:p>
    <w:p w14:paraId="29153FA8" w14:textId="3F1B64A2" w:rsidR="009511F9" w:rsidRPr="009511F9" w:rsidRDefault="009511F9" w:rsidP="0086694B">
      <w:pPr>
        <w:pStyle w:val="Titre2"/>
      </w:pPr>
      <w:bookmarkStart w:id="24" w:name="_Toc103007711"/>
      <w:r w:rsidRPr="009511F9">
        <w:t>Attestation médicale concernant une disposition à l'enfermement</w:t>
      </w:r>
      <w:bookmarkEnd w:id="24"/>
    </w:p>
    <w:p w14:paraId="2F37CDB3" w14:textId="77777777" w:rsidR="009511F9" w:rsidRPr="009511F9" w:rsidRDefault="009511F9" w:rsidP="00BA472A">
      <w:pPr>
        <w:spacing w:after="120"/>
        <w:rPr>
          <w:lang w:val="fr-BE"/>
        </w:rPr>
      </w:pPr>
      <w:r w:rsidRPr="009511F9">
        <w:rPr>
          <w:lang w:val="fr-BE"/>
        </w:rPr>
        <w:t>Il peut arriver qu'une personne soit blessée pendant qu'elle commet un fait de nature criminelle. Lorsque les services de police arrêtent une personne blessée, celle-ci doit être amenée en premier lieu à l'hôpital pour des soins. Dans le cas où les services de police procèdent à une privation de liberté, il est demandé au médecin traitant, à cette occasion, si l'état de santé du patient permet son enfermement ou son audition.</w:t>
      </w:r>
    </w:p>
    <w:p w14:paraId="115A4914" w14:textId="407574A4" w:rsidR="009511F9" w:rsidRPr="009511F9" w:rsidRDefault="009511F9" w:rsidP="00BA472A">
      <w:pPr>
        <w:spacing w:after="120"/>
        <w:rPr>
          <w:lang w:val="fr-BE"/>
        </w:rPr>
      </w:pPr>
      <w:r w:rsidRPr="00AD7939">
        <w:rPr>
          <w:b/>
          <w:lang w:val="fr-BE"/>
        </w:rPr>
        <w:t>Il n'incombe pas au médecin traitant de délivrer un certificat d'aptitude fixant que l'état de santé du patient lui permet d'être auditionné ou enfermé</w:t>
      </w:r>
      <w:r w:rsidRPr="009511F9">
        <w:rPr>
          <w:lang w:val="fr-BE"/>
        </w:rPr>
        <w:t>. En effet, le médecin traitant n'a pas pour tâche d'intervenir comme médecin expert judiciaire ; il a uniquement pour mission de dispenser des soins et peut délivrer, via le patient, une attestation aux services de police comportant un nombre limité de do</w:t>
      </w:r>
      <w:r w:rsidR="00E7179B">
        <w:rPr>
          <w:lang w:val="fr-BE"/>
        </w:rPr>
        <w:t>nnées médicales (</w:t>
      </w:r>
      <w:hyperlink w:anchor="_La_police_demande" w:history="1">
        <w:r w:rsidR="00E7179B" w:rsidRPr="009D7762">
          <w:rPr>
            <w:rStyle w:val="Lienhypertexte"/>
            <w:lang w:val="fr-BE"/>
          </w:rPr>
          <w:t>cf. supra</w:t>
        </w:r>
      </w:hyperlink>
      <w:r w:rsidR="00E7179B">
        <w:rPr>
          <w:lang w:val="fr-BE"/>
        </w:rPr>
        <w:t>).</w:t>
      </w:r>
    </w:p>
    <w:p w14:paraId="0336A405" w14:textId="2EBAFD2B" w:rsidR="009511F9" w:rsidRPr="009511F9" w:rsidRDefault="009511F9" w:rsidP="00F92FFE">
      <w:pPr>
        <w:pStyle w:val="Titre2"/>
      </w:pPr>
      <w:bookmarkStart w:id="25" w:name="_Toc103007712"/>
      <w:r w:rsidRPr="009511F9">
        <w:t>Moyens légaux soutenant l'information ou l'instruction</w:t>
      </w:r>
      <w:bookmarkEnd w:id="25"/>
    </w:p>
    <w:p w14:paraId="623EF7A1" w14:textId="05DA356F" w:rsidR="009511F9" w:rsidRPr="009511F9" w:rsidRDefault="009511F9" w:rsidP="00E45A17">
      <w:pPr>
        <w:spacing w:after="120"/>
        <w:rPr>
          <w:lang w:val="fr-BE"/>
        </w:rPr>
      </w:pPr>
      <w:r w:rsidRPr="009511F9">
        <w:rPr>
          <w:lang w:val="fr-BE"/>
        </w:rPr>
        <w:t>Le secret professionnel n'est pas absolu. La loi prévoit plusieurs exceptions qui permet</w:t>
      </w:r>
      <w:r w:rsidR="00E45A17">
        <w:rPr>
          <w:lang w:val="fr-BE"/>
        </w:rPr>
        <w:t>tent au médecin de parler (</w:t>
      </w:r>
      <w:hyperlink w:anchor="_Le_médecin_a" w:history="1">
        <w:r w:rsidR="00E45A17" w:rsidRPr="00E45A17">
          <w:rPr>
            <w:rStyle w:val="Lienhypertexte"/>
            <w:lang w:val="fr-BE"/>
          </w:rPr>
          <w:t>cf. 5</w:t>
        </w:r>
        <w:r w:rsidRPr="00E45A17">
          <w:rPr>
            <w:rStyle w:val="Lienhypertexte"/>
            <w:lang w:val="fr-BE"/>
          </w:rPr>
          <w:t>.2.</w:t>
        </w:r>
      </w:hyperlink>
      <w:r w:rsidRPr="009511F9">
        <w:rPr>
          <w:lang w:val="fr-BE"/>
        </w:rPr>
        <w:t>).</w:t>
      </w:r>
    </w:p>
    <w:p w14:paraId="622C499D" w14:textId="77777777" w:rsidR="009511F9" w:rsidRPr="009511F9" w:rsidRDefault="009511F9" w:rsidP="00E45A17">
      <w:pPr>
        <w:spacing w:after="120"/>
        <w:rPr>
          <w:lang w:val="fr-BE"/>
        </w:rPr>
      </w:pPr>
      <w:r w:rsidRPr="009511F9">
        <w:rPr>
          <w:lang w:val="fr-BE"/>
        </w:rPr>
        <w:t>En outre, le Procureur du Roi et le juge d'instruction ont des moyens légaux à disposition pour mener une enquête efficace et fiable.</w:t>
      </w:r>
    </w:p>
    <w:p w14:paraId="1DB9983F" w14:textId="317234BF" w:rsidR="009511F9" w:rsidRPr="009511F9" w:rsidRDefault="009511F9" w:rsidP="00E45A17">
      <w:pPr>
        <w:pStyle w:val="Titre3"/>
      </w:pPr>
      <w:bookmarkStart w:id="26" w:name="_Toc103007713"/>
      <w:r w:rsidRPr="009511F9">
        <w:t>Témoignage en justice</w:t>
      </w:r>
      <w:bookmarkEnd w:id="26"/>
    </w:p>
    <w:p w14:paraId="0D177A5C" w14:textId="77777777" w:rsidR="006466B1" w:rsidRDefault="009511F9" w:rsidP="006466B1">
      <w:pPr>
        <w:spacing w:after="120"/>
        <w:rPr>
          <w:lang w:val="fr-BE"/>
        </w:rPr>
      </w:pPr>
      <w:r w:rsidRPr="009511F9">
        <w:rPr>
          <w:lang w:val="fr-BE"/>
        </w:rPr>
        <w:t xml:space="preserve">Le médecin peut être appelé à témoigner en justice devant le juge d'instruction ou devant une commission </w:t>
      </w:r>
      <w:r w:rsidR="006466B1">
        <w:rPr>
          <w:lang w:val="fr-BE"/>
        </w:rPr>
        <w:t xml:space="preserve">d'instruction parlementaire. </w:t>
      </w:r>
    </w:p>
    <w:p w14:paraId="39F65636" w14:textId="4BA50821" w:rsidR="009511F9" w:rsidRPr="009511F9" w:rsidRDefault="006466B1" w:rsidP="006466B1">
      <w:pPr>
        <w:spacing w:after="120"/>
        <w:rPr>
          <w:lang w:val="fr-BE"/>
        </w:rPr>
      </w:pPr>
      <w:r>
        <w:rPr>
          <w:lang w:val="fr-BE"/>
        </w:rPr>
        <w:t>Le méd</w:t>
      </w:r>
      <w:r w:rsidR="009511F9" w:rsidRPr="009511F9">
        <w:rPr>
          <w:lang w:val="fr-BE"/>
        </w:rPr>
        <w:t xml:space="preserve">ecin a </w:t>
      </w:r>
      <w:r w:rsidR="009511F9" w:rsidRPr="006466B1">
        <w:rPr>
          <w:b/>
          <w:lang w:val="fr-BE"/>
        </w:rPr>
        <w:t>un droit de parler</w:t>
      </w:r>
      <w:r w:rsidR="009511F9" w:rsidRPr="009511F9">
        <w:rPr>
          <w:lang w:val="fr-BE"/>
        </w:rPr>
        <w:t xml:space="preserve">, </w:t>
      </w:r>
      <w:r w:rsidR="009511F9" w:rsidRPr="006466B1">
        <w:rPr>
          <w:b/>
          <w:lang w:val="fr-BE"/>
        </w:rPr>
        <w:t>pas une obligation de parler</w:t>
      </w:r>
      <w:r>
        <w:rPr>
          <w:lang w:val="fr-BE"/>
        </w:rPr>
        <w:t>.</w:t>
      </w:r>
    </w:p>
    <w:p w14:paraId="16001D58" w14:textId="77777777" w:rsidR="009511F9" w:rsidRPr="009511F9" w:rsidRDefault="009511F9" w:rsidP="006466B1">
      <w:pPr>
        <w:spacing w:after="120"/>
        <w:rPr>
          <w:lang w:val="fr-BE"/>
        </w:rPr>
      </w:pPr>
      <w:r w:rsidRPr="009511F9">
        <w:rPr>
          <w:lang w:val="fr-BE"/>
        </w:rPr>
        <w:t>Cette exception légale ne permet toutefois pas de témoigner devant les services de police ou le parquet.</w:t>
      </w:r>
    </w:p>
    <w:p w14:paraId="4C1B678A" w14:textId="1F2FDB9D" w:rsidR="009511F9" w:rsidRPr="009511F9" w:rsidRDefault="009511F9" w:rsidP="00E45A17">
      <w:pPr>
        <w:pStyle w:val="Titre3"/>
      </w:pPr>
      <w:bookmarkStart w:id="27" w:name="_Toc103007714"/>
      <w:r w:rsidRPr="009511F9">
        <w:t>Concertation</w:t>
      </w:r>
      <w:bookmarkEnd w:id="27"/>
    </w:p>
    <w:p w14:paraId="46972504" w14:textId="77777777" w:rsidR="009511F9" w:rsidRPr="009511F9" w:rsidRDefault="009511F9" w:rsidP="009511F9">
      <w:pPr>
        <w:rPr>
          <w:lang w:val="fr-BE"/>
        </w:rPr>
      </w:pPr>
      <w:r w:rsidRPr="009511F9">
        <w:rPr>
          <w:lang w:val="fr-BE"/>
        </w:rPr>
        <w:t>L'article 458ter du Code pénal permet d'organiser une concertation entre divers acteurs soumis au secret professionnel et d'aboutir à une collaboration pluridisciplinaire, en vue de la protection de l'intégrité physique ou psychique d'une personne ou de tiers, ou pour éviter des actes terroristes ou des délits dans le cadre d'une organisation criminelle comme prévu à l'article 324bis du Code pénal.</w:t>
      </w:r>
    </w:p>
    <w:p w14:paraId="0C7FBD9E" w14:textId="77777777" w:rsidR="009511F9" w:rsidRPr="009511F9" w:rsidRDefault="009511F9" w:rsidP="009511F9">
      <w:pPr>
        <w:rPr>
          <w:lang w:val="fr-BE"/>
        </w:rPr>
      </w:pPr>
      <w:r w:rsidRPr="009511F9">
        <w:rPr>
          <w:lang w:val="fr-BE"/>
        </w:rPr>
        <w:t>La concertation est organisée par ou en vertu d'une loi, d'un décret ou d'une ordonnance, ou en cas d'autorisation motivée du procureur du Roi.(19)</w:t>
      </w:r>
    </w:p>
    <w:p w14:paraId="02D52162" w14:textId="77777777" w:rsidR="009511F9" w:rsidRPr="009511F9" w:rsidRDefault="009511F9" w:rsidP="009511F9">
      <w:pPr>
        <w:rPr>
          <w:lang w:val="fr-BE"/>
        </w:rPr>
      </w:pPr>
      <w:r w:rsidRPr="009511F9">
        <w:rPr>
          <w:lang w:val="fr-BE"/>
        </w:rPr>
        <w:t>Le médecin qui est prié de participer à une concertation a le droit de parler, pas une obligation de parler.</w:t>
      </w:r>
    </w:p>
    <w:p w14:paraId="35A8199B" w14:textId="178D5B1E" w:rsidR="009511F9" w:rsidRPr="009511F9" w:rsidRDefault="009511F9" w:rsidP="00F60C66">
      <w:pPr>
        <w:pStyle w:val="Titre3"/>
      </w:pPr>
      <w:bookmarkStart w:id="28" w:name="_Toc103007715"/>
      <w:r w:rsidRPr="009511F9">
        <w:t xml:space="preserve">Désignation d'un médecin expert judiciaire - Prise de sang ou salive </w:t>
      </w:r>
      <w:r w:rsidR="00D26E2C">
        <w:t>pour</w:t>
      </w:r>
      <w:r w:rsidRPr="009511F9">
        <w:t xml:space="preserve"> détection d'une intoxication (alcool, drogues) ou pour déterminer le profil ADN</w:t>
      </w:r>
      <w:bookmarkEnd w:id="28"/>
    </w:p>
    <w:p w14:paraId="335A36B4" w14:textId="0CEF2ECF" w:rsidR="009511F9" w:rsidRPr="005800E4" w:rsidRDefault="005800E4" w:rsidP="005800E4">
      <w:pPr>
        <w:spacing w:after="120"/>
        <w:rPr>
          <w:b/>
          <w:lang w:val="fr-BE"/>
        </w:rPr>
      </w:pPr>
      <w:r w:rsidRPr="005800E4">
        <w:rPr>
          <w:b/>
          <w:lang w:val="fr-BE"/>
        </w:rPr>
        <w:t xml:space="preserve">1) </w:t>
      </w:r>
      <w:r w:rsidR="009511F9" w:rsidRPr="005800E4">
        <w:rPr>
          <w:b/>
          <w:lang w:val="fr-BE"/>
        </w:rPr>
        <w:t>Généralités</w:t>
      </w:r>
    </w:p>
    <w:p w14:paraId="21F48A79" w14:textId="77777777" w:rsidR="005800E4" w:rsidRDefault="009511F9" w:rsidP="005800E4">
      <w:pPr>
        <w:spacing w:after="120"/>
        <w:rPr>
          <w:lang w:val="fr-BE"/>
        </w:rPr>
      </w:pPr>
      <w:r w:rsidRPr="009511F9">
        <w:rPr>
          <w:lang w:val="fr-BE"/>
        </w:rPr>
        <w:t>Pendant l'information ou l'instruction, le procureur du Roi ou le juge d'instruction peut désigner un médecin-expert judiciaire pour examiner l'état médical de l'auteur</w:t>
      </w:r>
      <w:r w:rsidR="005800E4">
        <w:rPr>
          <w:lang w:val="fr-BE"/>
        </w:rPr>
        <w:t xml:space="preserve"> potentiel ou de la victime.</w:t>
      </w:r>
    </w:p>
    <w:p w14:paraId="072C357B" w14:textId="30A26A0C" w:rsidR="009511F9" w:rsidRPr="009511F9" w:rsidRDefault="005800E4" w:rsidP="005800E4">
      <w:pPr>
        <w:spacing w:after="120"/>
        <w:rPr>
          <w:lang w:val="fr-BE"/>
        </w:rPr>
      </w:pPr>
      <w:r>
        <w:rPr>
          <w:lang w:val="fr-BE"/>
        </w:rPr>
        <w:t>L</w:t>
      </w:r>
      <w:r w:rsidR="009511F9" w:rsidRPr="009511F9">
        <w:rPr>
          <w:lang w:val="fr-BE"/>
        </w:rPr>
        <w:t>e médecin qui, en tant que médecin expert judiciaire, établit le rapport sur l'état de santé d'une personne, dans les limites de sa mission, ne viole pas le secret professionnel.</w:t>
      </w:r>
    </w:p>
    <w:p w14:paraId="6330F9FB" w14:textId="77777777" w:rsidR="009511F9" w:rsidRPr="009511F9" w:rsidRDefault="009511F9" w:rsidP="005800E4">
      <w:pPr>
        <w:spacing w:after="120"/>
        <w:rPr>
          <w:lang w:val="fr-BE"/>
        </w:rPr>
      </w:pPr>
      <w:r w:rsidRPr="009511F9">
        <w:rPr>
          <w:lang w:val="fr-BE"/>
        </w:rPr>
        <w:t>Le médecin traitant doit mettre les informations nécessaires à la disposition du médecin expert judiciaire.</w:t>
      </w:r>
    </w:p>
    <w:p w14:paraId="4C101FEF" w14:textId="7CD6A6BF" w:rsidR="009511F9" w:rsidRPr="00A372B9" w:rsidRDefault="009511F9" w:rsidP="005800E4">
      <w:pPr>
        <w:spacing w:after="120"/>
        <w:rPr>
          <w:b/>
          <w:lang w:val="fr-BE"/>
        </w:rPr>
      </w:pPr>
      <w:r w:rsidRPr="00A372B9">
        <w:rPr>
          <w:b/>
          <w:lang w:val="fr-BE"/>
        </w:rPr>
        <w:t>Les missions du médecin expert judiciaire sont incompatibles avec</w:t>
      </w:r>
      <w:r w:rsidR="005800E4" w:rsidRPr="00A372B9">
        <w:rPr>
          <w:b/>
          <w:lang w:val="fr-BE"/>
        </w:rPr>
        <w:t xml:space="preserve"> celles du médecin traitant.</w:t>
      </w:r>
    </w:p>
    <w:p w14:paraId="782AC6F1" w14:textId="34E27A2F" w:rsidR="009511F9" w:rsidRPr="005800E4" w:rsidRDefault="009511F9" w:rsidP="005800E4">
      <w:pPr>
        <w:spacing w:after="120"/>
        <w:rPr>
          <w:b/>
          <w:lang w:val="fr-BE"/>
        </w:rPr>
      </w:pPr>
      <w:r w:rsidRPr="005800E4">
        <w:rPr>
          <w:b/>
          <w:lang w:val="fr-BE"/>
        </w:rPr>
        <w:t>2</w:t>
      </w:r>
      <w:r w:rsidR="005800E4" w:rsidRPr="005800E4">
        <w:rPr>
          <w:b/>
          <w:lang w:val="fr-BE"/>
        </w:rPr>
        <w:t>)</w:t>
      </w:r>
      <w:r w:rsidRPr="005800E4">
        <w:rPr>
          <w:b/>
          <w:lang w:val="fr-BE"/>
        </w:rPr>
        <w:t xml:space="preserve"> Prélèvement sanguin </w:t>
      </w:r>
      <w:r w:rsidR="005800E4" w:rsidRPr="005800E4">
        <w:rPr>
          <w:b/>
          <w:lang w:val="fr-BE"/>
        </w:rPr>
        <w:t xml:space="preserve">– prise de sang </w:t>
      </w:r>
      <w:r w:rsidRPr="005800E4">
        <w:rPr>
          <w:b/>
          <w:lang w:val="fr-BE"/>
        </w:rPr>
        <w:t>dans le cadre judiciaire</w:t>
      </w:r>
    </w:p>
    <w:p w14:paraId="6B2D1E39" w14:textId="77777777" w:rsidR="009511F9" w:rsidRPr="009511F9" w:rsidRDefault="009511F9" w:rsidP="005800E4">
      <w:pPr>
        <w:spacing w:after="120"/>
        <w:rPr>
          <w:lang w:val="fr-BE"/>
        </w:rPr>
      </w:pPr>
      <w:r w:rsidRPr="009511F9">
        <w:rPr>
          <w:lang w:val="fr-BE"/>
        </w:rPr>
        <w:t>Le médecin qui exécute un prélèvement sanguin dans le cadre judiciaire, sur réquisition des autorités compétentes, et qui rédige le rapport y afférent ne se rend pas coupable d'une violation du secret professionnel. Si seul le médecin traitant peut être réquisitionné, il prélève un échantillon de sang sans fournir d'informations sur les éventuels signes d'intoxication ou d'autres données médicales.</w:t>
      </w:r>
    </w:p>
    <w:p w14:paraId="7B67D3F1" w14:textId="7C425A6D" w:rsidR="009511F9" w:rsidRPr="009511F9" w:rsidRDefault="009511F9" w:rsidP="005800E4">
      <w:pPr>
        <w:spacing w:after="120"/>
        <w:rPr>
          <w:lang w:val="fr-BE"/>
        </w:rPr>
      </w:pPr>
      <w:r w:rsidRPr="009511F9">
        <w:rPr>
          <w:lang w:val="fr-BE"/>
        </w:rPr>
        <w:t>Le médecin est contraint de poser les actes requis et peut seulement s'en abstenir si ses constatations montrent une contre-indication formelle à cette mesure ou lorsqu'il reconnaît comme fondées les raisons avancées par la personne co</w:t>
      </w:r>
      <w:r w:rsidR="005800E4">
        <w:rPr>
          <w:lang w:val="fr-BE"/>
        </w:rPr>
        <w:t>ncernée pour s'y soustraire.</w:t>
      </w:r>
    </w:p>
    <w:p w14:paraId="407AFC56" w14:textId="77777777" w:rsidR="009511F9" w:rsidRPr="009511F9" w:rsidRDefault="009511F9" w:rsidP="005800E4">
      <w:pPr>
        <w:spacing w:after="120"/>
        <w:rPr>
          <w:lang w:val="fr-BE"/>
        </w:rPr>
      </w:pPr>
      <w:r w:rsidRPr="009511F9">
        <w:rPr>
          <w:lang w:val="fr-BE"/>
        </w:rPr>
        <w:t>Les résultats du prélèvement sanguin et le rapport y afférent peuvent être communiqués, sous pli fermé, aux services de police, qui les transmettront au magistrat les réclamant.</w:t>
      </w:r>
    </w:p>
    <w:p w14:paraId="38720104" w14:textId="77777777" w:rsidR="009511F9" w:rsidRPr="009511F9" w:rsidRDefault="009511F9" w:rsidP="005800E4">
      <w:pPr>
        <w:spacing w:after="120"/>
        <w:rPr>
          <w:lang w:val="fr-BE"/>
        </w:rPr>
      </w:pPr>
      <w:r w:rsidRPr="009511F9">
        <w:rPr>
          <w:lang w:val="fr-BE"/>
        </w:rPr>
        <w:t>Le médecin ne peut utiliser la contrainte physique contre la personne concernée qui refuse de se soumettre à un prélèvement sanguin dans le cadre judiciaire.</w:t>
      </w:r>
    </w:p>
    <w:p w14:paraId="25672BCC" w14:textId="01E035F5" w:rsidR="009511F9" w:rsidRPr="005800E4" w:rsidRDefault="009511F9" w:rsidP="005800E4">
      <w:pPr>
        <w:spacing w:after="120"/>
        <w:rPr>
          <w:b/>
          <w:lang w:val="fr-BE"/>
        </w:rPr>
      </w:pPr>
      <w:r w:rsidRPr="005800E4">
        <w:rPr>
          <w:b/>
          <w:lang w:val="fr-BE"/>
        </w:rPr>
        <w:t>3</w:t>
      </w:r>
      <w:r w:rsidR="005800E4" w:rsidRPr="005800E4">
        <w:rPr>
          <w:b/>
          <w:lang w:val="fr-BE"/>
        </w:rPr>
        <w:t>)</w:t>
      </w:r>
      <w:r w:rsidRPr="005800E4">
        <w:rPr>
          <w:b/>
          <w:lang w:val="fr-BE"/>
        </w:rPr>
        <w:t xml:space="preserve"> Application spécifique : prélèvement sanguin dans le cadre judiciaire si la victime a peut-être été contaminée par une maladie grave à la suite d'un fait punissable</w:t>
      </w:r>
    </w:p>
    <w:p w14:paraId="055D2EB5" w14:textId="77777777" w:rsidR="009511F9" w:rsidRPr="009511F9" w:rsidRDefault="009511F9" w:rsidP="005800E4">
      <w:pPr>
        <w:spacing w:after="120"/>
        <w:rPr>
          <w:lang w:val="fr-BE"/>
        </w:rPr>
      </w:pPr>
      <w:r w:rsidRPr="009511F9">
        <w:rPr>
          <w:lang w:val="fr-BE"/>
        </w:rPr>
        <w:t>Lorsqu'il existe de sérieuses indications qu'une victime d'un délit puisse avoir été contaminée, à la suite de ce fait punissable, par une maladie grave reprise sur une liste fixée par arrêté royal, le procureur du Roi peut demander au suspect le prélèvement d'un échantillon sanguin pour vérifier s'il est porteur de cette maladie.</w:t>
      </w:r>
    </w:p>
    <w:p w14:paraId="37CA44E6" w14:textId="77777777" w:rsidR="009511F9" w:rsidRPr="009511F9" w:rsidRDefault="009511F9" w:rsidP="005800E4">
      <w:pPr>
        <w:spacing w:after="120"/>
        <w:rPr>
          <w:lang w:val="fr-BE"/>
        </w:rPr>
      </w:pPr>
      <w:r w:rsidRPr="009511F9">
        <w:rPr>
          <w:lang w:val="fr-BE"/>
        </w:rPr>
        <w:t>Le cas échéant, l'information médicale relève du secret professionnel et le laboratoire de référence requis transmettra les résultats uniquement au médecin traitant de la victime et à celui du suspect à sa demande. Les données médicales ne sont pas communiquées au procureur du Roi.</w:t>
      </w:r>
    </w:p>
    <w:p w14:paraId="5D111F7C" w14:textId="28965C41" w:rsidR="009511F9" w:rsidRPr="005800E4" w:rsidRDefault="009511F9" w:rsidP="005800E4">
      <w:pPr>
        <w:spacing w:after="120"/>
        <w:rPr>
          <w:b/>
          <w:lang w:val="fr-BE"/>
        </w:rPr>
      </w:pPr>
      <w:r w:rsidRPr="005800E4">
        <w:rPr>
          <w:b/>
          <w:lang w:val="fr-BE"/>
        </w:rPr>
        <w:t>4</w:t>
      </w:r>
      <w:r w:rsidR="005800E4" w:rsidRPr="005800E4">
        <w:rPr>
          <w:b/>
          <w:lang w:val="fr-BE"/>
        </w:rPr>
        <w:t>)</w:t>
      </w:r>
      <w:r w:rsidRPr="005800E4">
        <w:rPr>
          <w:b/>
          <w:lang w:val="fr-BE"/>
        </w:rPr>
        <w:t xml:space="preserve"> Test ADN</w:t>
      </w:r>
    </w:p>
    <w:p w14:paraId="7B35F59C" w14:textId="48AFEB30" w:rsidR="009511F9" w:rsidRPr="009511F9" w:rsidRDefault="009511F9" w:rsidP="005800E4">
      <w:pPr>
        <w:spacing w:after="120"/>
        <w:rPr>
          <w:lang w:val="fr-BE"/>
        </w:rPr>
      </w:pPr>
      <w:r w:rsidRPr="009511F9">
        <w:rPr>
          <w:lang w:val="fr-BE"/>
        </w:rPr>
        <w:t>Le médecin peut aussi être requis pour des prélèvements capillaires (avec racines), de muqueuses buccales ou de sang pour réaliser un test A</w:t>
      </w:r>
      <w:r w:rsidR="005800E4">
        <w:rPr>
          <w:lang w:val="fr-BE"/>
        </w:rPr>
        <w:t>DN dans le cadre judiciaire.</w:t>
      </w:r>
      <w:r w:rsidRPr="009511F9">
        <w:rPr>
          <w:lang w:val="fr-BE"/>
        </w:rPr>
        <w:t xml:space="preserve"> Le médecin est obligé de poser ces actes et d'établir un rapport.</w:t>
      </w:r>
    </w:p>
    <w:p w14:paraId="3CEC1439" w14:textId="77777777" w:rsidR="009511F9" w:rsidRPr="009511F9" w:rsidRDefault="009511F9" w:rsidP="005800E4">
      <w:pPr>
        <w:spacing w:after="120"/>
        <w:rPr>
          <w:lang w:val="fr-BE"/>
        </w:rPr>
      </w:pPr>
      <w:r w:rsidRPr="009511F9">
        <w:rPr>
          <w:lang w:val="fr-BE"/>
        </w:rPr>
        <w:t>Pour le test ADN, le médecin ne peut utiliser la contrainte physique contre la personne concernée. Si la personne concernée refuse de se soumettre à cette expérience, ce refus est mentionné dans le procès-verbal.</w:t>
      </w:r>
    </w:p>
    <w:p w14:paraId="2C856186" w14:textId="597906C0" w:rsidR="009511F9" w:rsidRPr="009511F9" w:rsidRDefault="006464C2" w:rsidP="00F92FFE">
      <w:pPr>
        <w:pStyle w:val="Titre2"/>
      </w:pPr>
      <w:bookmarkStart w:id="29" w:name="_Toc103007716"/>
      <w:r>
        <w:t>C</w:t>
      </w:r>
      <w:r w:rsidR="009511F9" w:rsidRPr="009511F9">
        <w:t>améras de surveillance en milieu hospitalier</w:t>
      </w:r>
      <w:bookmarkEnd w:id="29"/>
    </w:p>
    <w:p w14:paraId="13FB0CBA" w14:textId="06B84937" w:rsidR="009511F9" w:rsidRPr="009511F9" w:rsidRDefault="009511F9" w:rsidP="000B49FB">
      <w:pPr>
        <w:spacing w:after="120"/>
        <w:rPr>
          <w:lang w:val="fr-BE"/>
        </w:rPr>
      </w:pPr>
      <w:r w:rsidRPr="009511F9">
        <w:rPr>
          <w:lang w:val="fr-BE"/>
        </w:rPr>
        <w:t xml:space="preserve">Le fait de prendre des images dans le local de consultation ou dans la chambre </w:t>
      </w:r>
      <w:r w:rsidR="000B49FB">
        <w:rPr>
          <w:lang w:val="fr-BE"/>
        </w:rPr>
        <w:t>du patient est inacceptable.</w:t>
      </w:r>
    </w:p>
    <w:p w14:paraId="7B59E83C" w14:textId="77777777" w:rsidR="009511F9" w:rsidRPr="009511F9" w:rsidRDefault="009511F9" w:rsidP="000B49FB">
      <w:pPr>
        <w:spacing w:after="120"/>
        <w:rPr>
          <w:lang w:val="fr-BE"/>
        </w:rPr>
      </w:pPr>
      <w:r w:rsidRPr="009511F9">
        <w:rPr>
          <w:lang w:val="fr-BE"/>
        </w:rPr>
        <w:t>Selon les conditions prévues par la loi du 21 mars 2007 réglant l'installation et l'utilisation de caméras de surveillance, des caméras peuvent être placées dans des espaces accessibles au public (hall, couloirs de l'hôpital, etc.) afin de garantir la sécurité des médecins et des patients et de recueillir des preuves d'un délit. Le matériel visuel du délit peut être transmis aux services de police.</w:t>
      </w:r>
    </w:p>
    <w:p w14:paraId="55DBF205" w14:textId="77777777" w:rsidR="009511F9" w:rsidRPr="009511F9" w:rsidRDefault="009511F9" w:rsidP="000B49FB">
      <w:pPr>
        <w:spacing w:after="120"/>
        <w:rPr>
          <w:lang w:val="fr-BE"/>
        </w:rPr>
      </w:pPr>
      <w:r w:rsidRPr="009511F9">
        <w:rPr>
          <w:lang w:val="fr-BE"/>
        </w:rPr>
        <w:t>Les principes déontologiques repris dans cet avis s'appliquent à tous les médecins. En outre, le Conseil national travaille sur un avis concernant la collaboration entre la police, le ministère public et les médecins généralistes.</w:t>
      </w:r>
    </w:p>
    <w:p w14:paraId="4EBCE378" w14:textId="2DED8C7C" w:rsidR="009511F9" w:rsidRDefault="009511F9" w:rsidP="000B49FB">
      <w:pPr>
        <w:spacing w:after="120"/>
        <w:rPr>
          <w:lang w:val="fr-BE"/>
        </w:rPr>
      </w:pPr>
      <w:r w:rsidRPr="009511F9">
        <w:rPr>
          <w:lang w:val="fr-BE"/>
        </w:rPr>
        <w:t>Les médecins peuvent toujours s'adresser à leur conseil provincial pour obtenir un avis déontologique sur des situations concrètes.</w:t>
      </w:r>
    </w:p>
    <w:p w14:paraId="0D33474B" w14:textId="59BFBF51" w:rsidR="00CA1505" w:rsidRPr="00A60CC7" w:rsidRDefault="00CA1505" w:rsidP="000B49FB">
      <w:pPr>
        <w:spacing w:after="120"/>
        <w:rPr>
          <w:i/>
          <w:lang w:val="fr-BE"/>
        </w:rPr>
      </w:pPr>
      <w:r>
        <w:rPr>
          <w:i/>
          <w:lang w:val="fr-BE"/>
        </w:rPr>
        <w:t xml:space="preserve">REMARQUE : il y a tolérance pour les isolements psychiatriques. Le patient doit cependant toujours être informé de la présence de caméras. Voir </w:t>
      </w:r>
      <w:hyperlink r:id="rId22" w:history="1">
        <w:r w:rsidR="00EA211C" w:rsidRPr="00A10D36">
          <w:rPr>
            <w:rStyle w:val="Lienhypertexte"/>
            <w:lang w:val="fr-BE"/>
          </w:rPr>
          <w:t>La mise en isolement psychiatrique - GED-PRO-00582</w:t>
        </w:r>
      </w:hyperlink>
      <w:r w:rsidR="00A60CC7">
        <w:rPr>
          <w:rStyle w:val="Lienhypertexte"/>
          <w:lang w:val="fr-BE"/>
        </w:rPr>
        <w:t xml:space="preserve"> </w:t>
      </w:r>
      <w:r w:rsidR="00A60CC7" w:rsidRPr="00A60CC7">
        <w:rPr>
          <w:i/>
        </w:rPr>
        <w:t xml:space="preserve">et des explications sur ce site : </w:t>
      </w:r>
      <w:hyperlink r:id="rId23" w:history="1">
        <w:r w:rsidR="00A60CC7" w:rsidRPr="00A60CC7">
          <w:rPr>
            <w:rStyle w:val="Lienhypertexte"/>
            <w:i/>
          </w:rPr>
          <w:t>https://www.autoriteprotectiondonnees.be</w:t>
        </w:r>
      </w:hyperlink>
    </w:p>
    <w:p w14:paraId="2C561D79" w14:textId="0DE290E9" w:rsidR="00024288" w:rsidRDefault="00F21F9C" w:rsidP="00A10619">
      <w:pPr>
        <w:pStyle w:val="Titre2"/>
      </w:pPr>
      <w:bookmarkStart w:id="30" w:name="_Toc103007717"/>
      <w:r>
        <w:t>P</w:t>
      </w:r>
      <w:r w:rsidR="00A10619">
        <w:t>atient admis pour blessure</w:t>
      </w:r>
      <w:r w:rsidR="00A10619" w:rsidRPr="00A10619">
        <w:t xml:space="preserve"> par arme à feu ou par arme blanche</w:t>
      </w:r>
      <w:r>
        <w:rPr>
          <w:rStyle w:val="Appelnotedebasdep"/>
        </w:rPr>
        <w:footnoteReference w:id="1"/>
      </w:r>
      <w:bookmarkEnd w:id="30"/>
    </w:p>
    <w:p w14:paraId="73B06935" w14:textId="33DF6821" w:rsidR="00C927B2" w:rsidRPr="00C927B2" w:rsidRDefault="00C927B2" w:rsidP="00C927B2">
      <w:pPr>
        <w:spacing w:after="120"/>
        <w:rPr>
          <w:lang w:val="fr-BE"/>
        </w:rPr>
      </w:pPr>
      <w:r w:rsidRPr="00C927B2">
        <w:rPr>
          <w:lang w:val="fr-BE"/>
        </w:rPr>
        <w:t>L’administration hospitalière n’a pas à communiquer systématiquement la liste nominative des personnes hospitalisées à des tiers qui en feraient la demande. Cette exclusion vise notamment les demandes de déclaration systématique aux services de police de l’admission de blessés par arme</w:t>
      </w:r>
      <w:r w:rsidR="00A10619">
        <w:rPr>
          <w:lang w:val="fr-BE"/>
        </w:rPr>
        <w:t>s à feu ou armes blanches</w:t>
      </w:r>
      <w:r w:rsidRPr="00C927B2">
        <w:rPr>
          <w:lang w:val="fr-BE"/>
        </w:rPr>
        <w:t>: une telle pratique constitue un manquement au respect du secret professionnel en ce sens qu’elle entraîne la divulgation de renseignements concernant la nature de l’affection qui est à l’origine de l’hospitalisation et qu’elle peut le cas échéant être susceptible de comp</w:t>
      </w:r>
      <w:r w:rsidR="00A10619">
        <w:rPr>
          <w:lang w:val="fr-BE"/>
        </w:rPr>
        <w:t>romettre la sécurité du malade</w:t>
      </w:r>
      <w:r w:rsidRPr="00C927B2">
        <w:rPr>
          <w:lang w:val="fr-BE"/>
        </w:rPr>
        <w:t>.</w:t>
      </w:r>
    </w:p>
    <w:p w14:paraId="51C109DE" w14:textId="4205C2F0" w:rsidR="00C927B2" w:rsidRPr="00C927B2" w:rsidRDefault="00C927B2" w:rsidP="00C927B2">
      <w:pPr>
        <w:spacing w:after="120"/>
        <w:rPr>
          <w:lang w:val="fr-BE"/>
        </w:rPr>
      </w:pPr>
      <w:r w:rsidRPr="00C927B2">
        <w:rPr>
          <w:lang w:val="fr-BE"/>
        </w:rPr>
        <w:t>Seul le blessé peut demander à ce que les autorités soient prévenues. La déclaration ne peut alors être effectuée que par le médecin chef de service ou le directeur de l’établissemen</w:t>
      </w:r>
      <w:r w:rsidR="00A10619">
        <w:rPr>
          <w:lang w:val="fr-BE"/>
        </w:rPr>
        <w:t>t, au procureur du Roi</w:t>
      </w:r>
      <w:r w:rsidRPr="00C927B2">
        <w:rPr>
          <w:lang w:val="fr-BE"/>
        </w:rPr>
        <w:t>.</w:t>
      </w:r>
    </w:p>
    <w:p w14:paraId="71A7C5B6" w14:textId="77A1B343" w:rsidR="00C927B2" w:rsidRPr="00A10619" w:rsidRDefault="00C927B2" w:rsidP="00C927B2">
      <w:pPr>
        <w:spacing w:after="120"/>
        <w:rPr>
          <w:lang w:val="fr-BE"/>
        </w:rPr>
      </w:pPr>
      <w:r w:rsidRPr="00A10619">
        <w:rPr>
          <w:lang w:val="fr-BE"/>
        </w:rPr>
        <w:t xml:space="preserve">Dans le cas où les </w:t>
      </w:r>
      <w:r w:rsidRPr="00A10619">
        <w:rPr>
          <w:b/>
          <w:lang w:val="fr-BE"/>
        </w:rPr>
        <w:t>autorités demandent si un blessé par arme à feu ou arme blanche a été admis</w:t>
      </w:r>
      <w:r w:rsidRPr="00A10619">
        <w:rPr>
          <w:lang w:val="fr-BE"/>
        </w:rPr>
        <w:t xml:space="preserve">, le professionnel de santé doit leur </w:t>
      </w:r>
      <w:r w:rsidRPr="00A10619">
        <w:rPr>
          <w:b/>
          <w:lang w:val="fr-BE"/>
        </w:rPr>
        <w:t>répondre par « oui » ou par « non »</w:t>
      </w:r>
      <w:r w:rsidRPr="00A10619">
        <w:rPr>
          <w:lang w:val="fr-BE"/>
        </w:rPr>
        <w:t xml:space="preserve">. Si elles souhaitent obtenir davantage de renseignements, elles devront délivrer une réquisition </w:t>
      </w:r>
      <w:r w:rsidR="00A10619" w:rsidRPr="00A10619">
        <w:rPr>
          <w:lang w:val="fr-BE"/>
        </w:rPr>
        <w:t xml:space="preserve">provenant du </w:t>
      </w:r>
      <w:r w:rsidR="00A10619">
        <w:rPr>
          <w:lang w:val="fr-BE"/>
        </w:rPr>
        <w:t>p</w:t>
      </w:r>
      <w:r w:rsidR="00A10619" w:rsidRPr="00A10619">
        <w:rPr>
          <w:lang w:val="fr-BE"/>
        </w:rPr>
        <w:t xml:space="preserve">rocureur du Roi ou du juge d'instruction </w:t>
      </w:r>
      <w:r w:rsidRPr="00A10619">
        <w:rPr>
          <w:lang w:val="fr-BE"/>
        </w:rPr>
        <w:t>comportant des questions précises : nom du blessé, état descriptif des lésions, durée de l’incapacité totale de travail, etc.</w:t>
      </w:r>
    </w:p>
    <w:p w14:paraId="21C316E4" w14:textId="1988FFE0" w:rsidR="00A62C40" w:rsidRDefault="004710AB" w:rsidP="004710AB">
      <w:pPr>
        <w:pStyle w:val="Titre1"/>
      </w:pPr>
      <w:bookmarkStart w:id="31" w:name="_Toc103007718"/>
      <w:r>
        <w:t xml:space="preserve">Contention – Isolement psychiatrique – Sécurisation </w:t>
      </w:r>
      <w:r w:rsidR="00A30F53">
        <w:t xml:space="preserve">du patient – </w:t>
      </w:r>
      <w:r w:rsidR="00F74F88">
        <w:t>Sécurisation des</w:t>
      </w:r>
      <w:r>
        <w:t xml:space="preserve"> biens</w:t>
      </w:r>
      <w:bookmarkEnd w:id="31"/>
    </w:p>
    <w:p w14:paraId="74858D4F" w14:textId="77777777" w:rsidR="004710AB" w:rsidRDefault="00DA5DA6" w:rsidP="004710AB">
      <w:pPr>
        <w:pStyle w:val="Paragraphedeliste"/>
        <w:numPr>
          <w:ilvl w:val="0"/>
          <w:numId w:val="34"/>
        </w:numPr>
        <w:rPr>
          <w:lang w:val="fr-BE"/>
        </w:rPr>
      </w:pPr>
      <w:hyperlink r:id="rId24" w:history="1">
        <w:r w:rsidR="004710AB" w:rsidRPr="00A10D36">
          <w:rPr>
            <w:rStyle w:val="Lienhypertexte"/>
            <w:lang w:val="fr-BE"/>
          </w:rPr>
          <w:t>La mise sous contention -- GED-PRO-00579</w:t>
        </w:r>
      </w:hyperlink>
    </w:p>
    <w:p w14:paraId="428AF2C1" w14:textId="5BD98D4B" w:rsidR="004710AB" w:rsidRPr="006B11B6" w:rsidRDefault="00DA5DA6" w:rsidP="004710AB">
      <w:pPr>
        <w:pStyle w:val="Paragraphedeliste"/>
        <w:numPr>
          <w:ilvl w:val="0"/>
          <w:numId w:val="34"/>
        </w:numPr>
        <w:rPr>
          <w:rStyle w:val="Lienhypertexte"/>
          <w:color w:val="auto"/>
          <w:u w:val="none"/>
          <w:lang w:val="fr-BE"/>
        </w:rPr>
      </w:pPr>
      <w:hyperlink r:id="rId25" w:history="1">
        <w:r w:rsidR="004710AB" w:rsidRPr="00A10D36">
          <w:rPr>
            <w:rStyle w:val="Lienhypertexte"/>
            <w:lang w:val="fr-BE"/>
          </w:rPr>
          <w:t>La mise en isolement psychiatrique - GED-PRO-00582</w:t>
        </w:r>
      </w:hyperlink>
    </w:p>
    <w:p w14:paraId="440E67C3" w14:textId="25DDB6E4" w:rsidR="006B11B6" w:rsidRPr="006B11B6" w:rsidRDefault="006B11B6" w:rsidP="006B11B6">
      <w:pPr>
        <w:pStyle w:val="Paragraphedeliste"/>
        <w:numPr>
          <w:ilvl w:val="0"/>
          <w:numId w:val="34"/>
        </w:numPr>
        <w:rPr>
          <w:lang w:val="fr-BE"/>
        </w:rPr>
      </w:pPr>
      <w:r w:rsidRPr="006B11B6">
        <w:rPr>
          <w:lang w:val="fr-BE"/>
        </w:rPr>
        <w:t>Loi relative à la protection de la personne des malades mentaux - Mise en observation</w:t>
      </w:r>
      <w:r>
        <w:rPr>
          <w:lang w:val="fr-BE"/>
        </w:rPr>
        <w:t xml:space="preserve"> - </w:t>
      </w:r>
      <w:hyperlink r:id="rId26" w:history="1">
        <w:r w:rsidRPr="00DE445C">
          <w:rPr>
            <w:rStyle w:val="Lienhypertexte"/>
            <w:lang w:val="fr-BE"/>
          </w:rPr>
          <w:t>GED-INFO-00288</w:t>
        </w:r>
      </w:hyperlink>
      <w:r>
        <w:rPr>
          <w:lang w:val="fr-BE"/>
        </w:rPr>
        <w:t xml:space="preserve"> </w:t>
      </w:r>
    </w:p>
    <w:p w14:paraId="678FB50C" w14:textId="77777777" w:rsidR="004710AB" w:rsidRPr="00D03B0C" w:rsidRDefault="00DA5DA6" w:rsidP="004710AB">
      <w:pPr>
        <w:pStyle w:val="Paragraphedeliste"/>
        <w:numPr>
          <w:ilvl w:val="0"/>
          <w:numId w:val="34"/>
        </w:numPr>
        <w:rPr>
          <w:rStyle w:val="Lienhypertexte"/>
          <w:color w:val="auto"/>
          <w:u w:val="none"/>
          <w:lang w:val="fr-BE"/>
        </w:rPr>
      </w:pPr>
      <w:hyperlink r:id="rId27" w:history="1">
        <w:r w:rsidR="004710AB" w:rsidRPr="0049202C">
          <w:rPr>
            <w:rStyle w:val="Lienhypertexte"/>
            <w:lang w:val="fr-BE"/>
          </w:rPr>
          <w:t>Sécurisation des objets de valeur (inventaire) - GED-PRO-00521</w:t>
        </w:r>
      </w:hyperlink>
    </w:p>
    <w:p w14:paraId="0F216C86" w14:textId="77777777" w:rsidR="004710AB" w:rsidRPr="00D03B0C" w:rsidRDefault="004710AB" w:rsidP="004710AB">
      <w:pPr>
        <w:pStyle w:val="Paragraphedeliste"/>
        <w:numPr>
          <w:ilvl w:val="0"/>
          <w:numId w:val="34"/>
        </w:numPr>
        <w:rPr>
          <w:lang w:val="fr-BE"/>
        </w:rPr>
      </w:pPr>
      <w:r w:rsidRPr="00D03B0C">
        <w:rPr>
          <w:rStyle w:val="Lienhypertexte"/>
          <w:color w:val="auto"/>
          <w:u w:val="none"/>
          <w:lang w:val="fr-BE"/>
        </w:rPr>
        <w:t xml:space="preserve">La sécurisation des cartes d’identité - </w:t>
      </w:r>
      <w:hyperlink r:id="rId28" w:history="1">
        <w:r w:rsidRPr="00D03B0C">
          <w:rPr>
            <w:rStyle w:val="Lienhypertexte"/>
            <w:lang w:val="fr-BE"/>
          </w:rPr>
          <w:t>GED-PRO-01025</w:t>
        </w:r>
      </w:hyperlink>
      <w:r>
        <w:rPr>
          <w:rStyle w:val="Lienhypertexte"/>
          <w:color w:val="auto"/>
          <w:u w:val="none"/>
          <w:lang w:val="fr-BE"/>
        </w:rPr>
        <w:t xml:space="preserve"> </w:t>
      </w:r>
    </w:p>
    <w:p w14:paraId="104CF805" w14:textId="77777777" w:rsidR="004710AB" w:rsidRPr="0049202C" w:rsidRDefault="00DA5DA6" w:rsidP="004710AB">
      <w:pPr>
        <w:pStyle w:val="Paragraphedeliste"/>
        <w:numPr>
          <w:ilvl w:val="0"/>
          <w:numId w:val="34"/>
        </w:numPr>
        <w:rPr>
          <w:lang w:val="fr-BE"/>
        </w:rPr>
      </w:pPr>
      <w:hyperlink r:id="rId29" w:history="1">
        <w:r w:rsidR="004710AB" w:rsidRPr="0049202C">
          <w:rPr>
            <w:rStyle w:val="Lienhypertexte"/>
            <w:lang w:val="fr-BE"/>
          </w:rPr>
          <w:t>Procédure en cas de vol - GED-PRO-00139</w:t>
        </w:r>
      </w:hyperlink>
    </w:p>
    <w:p w14:paraId="56EA5AAA" w14:textId="77777777" w:rsidR="00A62C40" w:rsidRPr="003000C9" w:rsidRDefault="00DA5DA6" w:rsidP="004710AB">
      <w:pPr>
        <w:pStyle w:val="Paragraphedeliste"/>
        <w:numPr>
          <w:ilvl w:val="0"/>
          <w:numId w:val="34"/>
        </w:numPr>
        <w:rPr>
          <w:rStyle w:val="Lienhypertexte"/>
          <w:color w:val="auto"/>
          <w:u w:val="none"/>
          <w:lang w:val="fr-BE"/>
        </w:rPr>
      </w:pPr>
      <w:hyperlink r:id="rId30" w:history="1">
        <w:r w:rsidR="00A62C40" w:rsidRPr="00305A84">
          <w:rPr>
            <w:rStyle w:val="Lienhypertexte"/>
            <w:lang w:val="fr-BE"/>
          </w:rPr>
          <w:t>Fugue et disparition de patient - GED-PRO-00291</w:t>
        </w:r>
      </w:hyperlink>
    </w:p>
    <w:p w14:paraId="4DC6471D" w14:textId="3B8B87F2" w:rsidR="00AC3EB0" w:rsidRDefault="003A5FDE" w:rsidP="003A5FDE">
      <w:pPr>
        <w:pStyle w:val="Titre1"/>
      </w:pPr>
      <w:bookmarkStart w:id="32" w:name="_Toc103007719"/>
      <w:r>
        <w:t>Références</w:t>
      </w:r>
      <w:bookmarkEnd w:id="32"/>
    </w:p>
    <w:p w14:paraId="0974D084" w14:textId="4DFC789B" w:rsidR="005E5B1D" w:rsidRDefault="00DA5DA6" w:rsidP="004F1763">
      <w:pPr>
        <w:pStyle w:val="Sansinterligne"/>
        <w:numPr>
          <w:ilvl w:val="0"/>
          <w:numId w:val="30"/>
        </w:numPr>
      </w:pPr>
      <w:hyperlink r:id="rId31" w:history="1">
        <w:r w:rsidR="005E5B1D" w:rsidRPr="00D31F06">
          <w:rPr>
            <w:rFonts w:eastAsia="Calibri" w:cs="Times New Roman"/>
            <w:color w:val="0563C1"/>
            <w:u w:val="single"/>
          </w:rPr>
          <w:t>https://ordomedic.be/fr/avis/attestations-certificats/declaration-a-la-police-aux-autorites-judiciaires/collaboration-entre-la-police-le-ministere-public-et-les-hopitaux-principes-generaux</w:t>
        </w:r>
      </w:hyperlink>
    </w:p>
    <w:p w14:paraId="6204D111" w14:textId="7BE1332A" w:rsidR="00D02B11" w:rsidRPr="004F1763" w:rsidRDefault="00DA5DA6" w:rsidP="004F1763">
      <w:pPr>
        <w:pStyle w:val="Sansinterligne"/>
        <w:numPr>
          <w:ilvl w:val="0"/>
          <w:numId w:val="30"/>
        </w:numPr>
      </w:pPr>
      <w:hyperlink r:id="rId32" w:history="1">
        <w:r w:rsidR="004F1763" w:rsidRPr="004F1763">
          <w:rPr>
            <w:rFonts w:eastAsia="Calibri" w:cs="Times New Roman"/>
            <w:color w:val="0563C1"/>
            <w:u w:val="single"/>
          </w:rPr>
          <w:t>https://www.vocabulaire-medical.fr/encyclopedie/146-erreur-medicale-faute</w:t>
        </w:r>
      </w:hyperlink>
    </w:p>
    <w:p w14:paraId="2F78ACED" w14:textId="71F2D183" w:rsidR="004F1763" w:rsidRPr="004F1763" w:rsidRDefault="00DA5DA6" w:rsidP="004F1763">
      <w:pPr>
        <w:pStyle w:val="Sansinterligne"/>
        <w:numPr>
          <w:ilvl w:val="0"/>
          <w:numId w:val="30"/>
        </w:numPr>
      </w:pPr>
      <w:hyperlink r:id="rId33" w:history="1">
        <w:r w:rsidR="004F1763" w:rsidRPr="004F1763">
          <w:rPr>
            <w:rFonts w:eastAsia="Calibri" w:cs="Times New Roman"/>
            <w:color w:val="0563C1"/>
            <w:u w:val="single"/>
          </w:rPr>
          <w:t>https://www.expertisemedicale.be/fr/notre-intervention/erreur-medicale-accident-therapeutique</w:t>
        </w:r>
      </w:hyperlink>
    </w:p>
    <w:p w14:paraId="0B5C7911" w14:textId="4E9626BB" w:rsidR="004F1763" w:rsidRDefault="00A64B93" w:rsidP="004F1763">
      <w:pPr>
        <w:pStyle w:val="Sansinterligne"/>
        <w:numPr>
          <w:ilvl w:val="0"/>
          <w:numId w:val="30"/>
        </w:numPr>
      </w:pPr>
      <w:r>
        <w:t xml:space="preserve">ccc </w:t>
      </w:r>
      <w:hyperlink r:id="rId34" w:history="1">
        <w:r w:rsidR="00FC17CB" w:rsidRPr="00FC17CB">
          <w:rPr>
            <w:rFonts w:eastAsia="Calibri" w:cs="Times New Roman"/>
            <w:color w:val="0563C1"/>
            <w:u w:val="single"/>
          </w:rPr>
          <w:t>https://www.kbcbrussels.be/entreprendre/fr/articles/secteurs-specifiques/professions-liberales-medicales/responsabilite-medicale.html</w:t>
        </w:r>
      </w:hyperlink>
    </w:p>
    <w:p w14:paraId="2950E3BC" w14:textId="37CB22AC" w:rsidR="00A64B93" w:rsidRPr="00DD0284" w:rsidRDefault="00A64B93" w:rsidP="004F1763">
      <w:pPr>
        <w:pStyle w:val="Sansinterligne"/>
        <w:numPr>
          <w:ilvl w:val="0"/>
          <w:numId w:val="30"/>
        </w:numPr>
      </w:pPr>
      <w:r>
        <w:t xml:space="preserve">xx </w:t>
      </w:r>
      <w:hyperlink r:id="rId35" w:history="1">
        <w:r w:rsidR="006E4DA3" w:rsidRPr="006E4DA3">
          <w:rPr>
            <w:color w:val="0000FF"/>
            <w:u w:val="single"/>
          </w:rPr>
          <w:t>Gestion des risques médicaux - AMMA Assurances</w:t>
        </w:r>
      </w:hyperlink>
    </w:p>
    <w:p w14:paraId="06FDE75F" w14:textId="782EE8D2" w:rsidR="00DD0284" w:rsidRPr="00DD0284" w:rsidRDefault="00DA5DA6" w:rsidP="004F1763">
      <w:pPr>
        <w:pStyle w:val="Sansinterligne"/>
        <w:numPr>
          <w:ilvl w:val="0"/>
          <w:numId w:val="30"/>
        </w:numPr>
      </w:pPr>
      <w:hyperlink r:id="rId36" w:anchor="toc" w:history="1">
        <w:r w:rsidR="00DD0284" w:rsidRPr="00DD0284">
          <w:rPr>
            <w:rFonts w:eastAsia="Calibri" w:cs="Times New Roman"/>
            <w:color w:val="0563C1"/>
            <w:u w:val="single"/>
          </w:rPr>
          <w:t>https://www.actualitesdroitbelge.be/droit-des-affaires/droit-medical/la-responsabilite-medicale-en-l-absence-de-faute/presentation-de-la-responsabilite-medicale-en-l-absence-de-faute#toc</w:t>
        </w:r>
      </w:hyperlink>
    </w:p>
    <w:p w14:paraId="4DC6471E" w14:textId="0EB5A929" w:rsidR="008B52A5" w:rsidRDefault="00D02E95" w:rsidP="00223021">
      <w:pPr>
        <w:pStyle w:val="Titre1"/>
      </w:pPr>
      <w:bookmarkStart w:id="33" w:name="_Toc103007720"/>
      <w:r>
        <w:t>Approbations - Validatio</w:t>
      </w:r>
      <w:r w:rsidR="008B52A5">
        <w:t>ns</w:t>
      </w:r>
      <w:bookmarkEnd w:id="33"/>
    </w:p>
    <w:tbl>
      <w:tblPr>
        <w:tblStyle w:val="Grilledutableau"/>
        <w:tblW w:w="9781" w:type="dxa"/>
        <w:tblInd w:w="-34" w:type="dxa"/>
        <w:tblLook w:val="04A0" w:firstRow="1" w:lastRow="0" w:firstColumn="1" w:lastColumn="0" w:noHBand="0" w:noVBand="1"/>
      </w:tblPr>
      <w:tblGrid>
        <w:gridCol w:w="1963"/>
        <w:gridCol w:w="7818"/>
      </w:tblGrid>
      <w:tr w:rsidR="00594F8F" w:rsidRPr="000D0819" w14:paraId="4DC64725" w14:textId="77777777" w:rsidTr="00875588">
        <w:tc>
          <w:tcPr>
            <w:tcW w:w="1963" w:type="dxa"/>
            <w:tcBorders>
              <w:bottom w:val="single" w:sz="4" w:space="0" w:color="auto"/>
            </w:tcBorders>
            <w:shd w:val="pct12" w:color="auto" w:fill="auto"/>
          </w:tcPr>
          <w:p w14:paraId="4DC6471F" w14:textId="77777777" w:rsidR="00594F8F" w:rsidRPr="000D0819" w:rsidRDefault="00594F8F" w:rsidP="00875588"/>
        </w:tc>
        <w:tc>
          <w:tcPr>
            <w:tcW w:w="7818" w:type="dxa"/>
            <w:shd w:val="pct12" w:color="auto" w:fill="auto"/>
          </w:tcPr>
          <w:p w14:paraId="4DC64724" w14:textId="115B8119" w:rsidR="00594F8F" w:rsidRPr="000D0819" w:rsidRDefault="00594F8F" w:rsidP="00594F8F">
            <w:pPr>
              <w:rPr>
                <w:rFonts w:cs="Times New Roman"/>
                <w:b/>
                <w:color w:val="7030A0"/>
                <w:szCs w:val="20"/>
              </w:rPr>
            </w:pPr>
            <w:bookmarkStart w:id="34" w:name="_Toc360697958"/>
            <w:r w:rsidRPr="000D0819">
              <w:rPr>
                <w:rFonts w:cs="Times New Roman"/>
                <w:b/>
                <w:color w:val="7030A0"/>
                <w:szCs w:val="20"/>
              </w:rPr>
              <w:t>Nom, Prénom</w:t>
            </w:r>
            <w:bookmarkEnd w:id="34"/>
          </w:p>
        </w:tc>
      </w:tr>
      <w:tr w:rsidR="00951211" w:rsidRPr="000D0819" w14:paraId="4DC6472A" w14:textId="77777777" w:rsidTr="00875588">
        <w:tc>
          <w:tcPr>
            <w:tcW w:w="1963" w:type="dxa"/>
            <w:shd w:val="pct12" w:color="auto" w:fill="auto"/>
          </w:tcPr>
          <w:p w14:paraId="4DC64726" w14:textId="77777777" w:rsidR="00951211" w:rsidRDefault="00951211" w:rsidP="00875588">
            <w:pPr>
              <w:rPr>
                <w:rFonts w:cs="Times New Roman"/>
                <w:b/>
                <w:color w:val="7030A0"/>
                <w:szCs w:val="20"/>
              </w:rPr>
            </w:pPr>
            <w:r>
              <w:rPr>
                <w:rFonts w:cs="Times New Roman"/>
                <w:b/>
                <w:color w:val="7030A0"/>
                <w:szCs w:val="20"/>
              </w:rPr>
              <w:t>Emetteur</w:t>
            </w:r>
          </w:p>
        </w:tc>
        <w:tc>
          <w:tcPr>
            <w:tcW w:w="7818" w:type="dxa"/>
            <w:shd w:val="clear" w:color="auto" w:fill="auto"/>
          </w:tcPr>
          <w:p w14:paraId="4DC64729" w14:textId="3AAA5CF0" w:rsidR="00951211" w:rsidRPr="00530F83" w:rsidRDefault="00DA5DA6" w:rsidP="00AE4D86">
            <w:pPr>
              <w:rPr>
                <w:rFonts w:cs="Times New Roman"/>
                <w:szCs w:val="20"/>
              </w:rPr>
            </w:pPr>
            <w:r w:rsidRPr="00DA5DA6">
              <w:rPr>
                <w:rFonts w:cs="Times New Roman"/>
                <w:szCs w:val="20"/>
              </w:rPr>
              <w:t>Michel SLINGENEIJER</w:t>
            </w:r>
          </w:p>
        </w:tc>
      </w:tr>
      <w:tr w:rsidR="00594F8F" w:rsidRPr="000D0819" w14:paraId="4DC6472F" w14:textId="77777777" w:rsidTr="00875588">
        <w:tc>
          <w:tcPr>
            <w:tcW w:w="1963" w:type="dxa"/>
            <w:shd w:val="pct12" w:color="auto" w:fill="auto"/>
          </w:tcPr>
          <w:p w14:paraId="4DC6472B" w14:textId="0BBD105D" w:rsidR="00594F8F" w:rsidRPr="000D0819" w:rsidRDefault="005B4FFA" w:rsidP="00875588">
            <w:pPr>
              <w:rPr>
                <w:rFonts w:cs="Times New Roman"/>
                <w:b/>
                <w:color w:val="7030A0"/>
                <w:szCs w:val="20"/>
              </w:rPr>
            </w:pPr>
            <w:r>
              <w:rPr>
                <w:rFonts w:cs="Times New Roman"/>
                <w:b/>
                <w:color w:val="7030A0"/>
                <w:szCs w:val="20"/>
              </w:rPr>
              <w:t>Rédacteur</w:t>
            </w:r>
            <w:r w:rsidR="00594F8F">
              <w:rPr>
                <w:rFonts w:cs="Times New Roman"/>
                <w:b/>
                <w:color w:val="7030A0"/>
                <w:szCs w:val="20"/>
              </w:rPr>
              <w:t>(s)</w:t>
            </w:r>
          </w:p>
        </w:tc>
        <w:tc>
          <w:tcPr>
            <w:tcW w:w="7818" w:type="dxa"/>
            <w:shd w:val="clear" w:color="auto" w:fill="auto"/>
          </w:tcPr>
          <w:p w14:paraId="4DC6472E" w14:textId="5909F102" w:rsidR="00594F8F" w:rsidRPr="00530F83" w:rsidRDefault="00DA5DA6" w:rsidP="00594F8F">
            <w:pPr>
              <w:rPr>
                <w:rFonts w:cs="Times New Roman"/>
                <w:szCs w:val="20"/>
              </w:rPr>
            </w:pPr>
            <w:r w:rsidRPr="00DA5DA6">
              <w:rPr>
                <w:rFonts w:cs="Times New Roman"/>
                <w:szCs w:val="20"/>
              </w:rPr>
              <w:t>Michel SLINGENEIJER</w:t>
            </w:r>
            <w:bookmarkStart w:id="35" w:name="_GoBack"/>
            <w:bookmarkEnd w:id="35"/>
          </w:p>
        </w:tc>
      </w:tr>
    </w:tbl>
    <w:p w14:paraId="04F0BFCC" w14:textId="77777777" w:rsidR="00951211" w:rsidRDefault="00951211" w:rsidP="00951211"/>
    <w:p w14:paraId="018F0657" w14:textId="137EEEF1" w:rsidR="0092027C" w:rsidRDefault="0092027C" w:rsidP="00951211"/>
    <w:sectPr w:rsidR="0092027C" w:rsidSect="00577417">
      <w:headerReference w:type="default" r:id="rId37"/>
      <w:footerReference w:type="default" r:id="rId38"/>
      <w:pgSz w:w="11906" w:h="16838"/>
      <w:pgMar w:top="1418" w:right="1418" w:bottom="1418"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4743" w14:textId="77777777" w:rsidR="007D018B" w:rsidRDefault="007D018B" w:rsidP="008A2C65">
      <w:pPr>
        <w:spacing w:line="240" w:lineRule="auto"/>
      </w:pPr>
      <w:r>
        <w:separator/>
      </w:r>
    </w:p>
    <w:p w14:paraId="4DC64744" w14:textId="77777777" w:rsidR="007D018B" w:rsidRDefault="007D018B"/>
  </w:endnote>
  <w:endnote w:type="continuationSeparator" w:id="0">
    <w:p w14:paraId="4DC64745" w14:textId="77777777" w:rsidR="007D018B" w:rsidRDefault="007D018B" w:rsidP="008A2C65">
      <w:pPr>
        <w:spacing w:line="240" w:lineRule="auto"/>
      </w:pPr>
      <w:r>
        <w:continuationSeparator/>
      </w:r>
    </w:p>
    <w:p w14:paraId="4DC64746" w14:textId="77777777" w:rsidR="007D018B" w:rsidRDefault="007D0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9A91" w14:textId="77777777" w:rsidR="007D018B" w:rsidRPr="00925C9F" w:rsidRDefault="007D018B" w:rsidP="000D5EA2">
    <w:pPr>
      <w:pStyle w:val="Pieddepage"/>
      <w:tabs>
        <w:tab w:val="right" w:pos="9781"/>
      </w:tabs>
      <w:ind w:right="-18"/>
      <w:jc w:val="center"/>
      <w:rPr>
        <w:i/>
        <w:sz w:val="14"/>
        <w:szCs w:val="14"/>
      </w:rPr>
    </w:pPr>
    <w:r w:rsidRPr="00925C9F">
      <w:rPr>
        <w:i/>
        <w:sz w:val="14"/>
        <w:szCs w:val="14"/>
      </w:rPr>
      <w:t xml:space="preserve">Version </w:t>
    </w:r>
    <w:r>
      <w:rPr>
        <w:i/>
        <w:sz w:val="14"/>
        <w:szCs w:val="14"/>
      </w:rPr>
      <w:t xml:space="preserve">à l’écran </w:t>
    </w:r>
    <w:r w:rsidRPr="00925C9F">
      <w:rPr>
        <w:i/>
        <w:sz w:val="14"/>
        <w:szCs w:val="14"/>
      </w:rPr>
      <w:t>signée</w:t>
    </w:r>
    <w:r>
      <w:rPr>
        <w:i/>
        <w:sz w:val="14"/>
        <w:szCs w:val="14"/>
      </w:rPr>
      <w:t xml:space="preserve"> et actualisée</w:t>
    </w:r>
  </w:p>
  <w:p w14:paraId="7B3C6ED6" w14:textId="77777777" w:rsidR="007D018B" w:rsidRPr="0049468E" w:rsidRDefault="007D018B" w:rsidP="000D5EA2">
    <w:pPr>
      <w:pStyle w:val="Pieddepage"/>
      <w:jc w:val="center"/>
      <w:rPr>
        <w:i/>
        <w:sz w:val="14"/>
        <w:szCs w:val="14"/>
      </w:rPr>
    </w:pPr>
    <w:r w:rsidRPr="00925C9F">
      <w:rPr>
        <w:i/>
        <w:sz w:val="14"/>
        <w:szCs w:val="14"/>
      </w:rPr>
      <w:t>Version non contrôlée si imprimée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6473F" w14:textId="77777777" w:rsidR="007D018B" w:rsidRDefault="007D018B" w:rsidP="008A2C65">
      <w:pPr>
        <w:spacing w:line="240" w:lineRule="auto"/>
      </w:pPr>
      <w:r>
        <w:separator/>
      </w:r>
    </w:p>
    <w:p w14:paraId="4DC64740" w14:textId="77777777" w:rsidR="007D018B" w:rsidRDefault="007D018B"/>
  </w:footnote>
  <w:footnote w:type="continuationSeparator" w:id="0">
    <w:p w14:paraId="4DC64741" w14:textId="77777777" w:rsidR="007D018B" w:rsidRDefault="007D018B" w:rsidP="008A2C65">
      <w:pPr>
        <w:spacing w:line="240" w:lineRule="auto"/>
      </w:pPr>
      <w:r>
        <w:continuationSeparator/>
      </w:r>
    </w:p>
    <w:p w14:paraId="4DC64742" w14:textId="77777777" w:rsidR="007D018B" w:rsidRDefault="007D018B"/>
  </w:footnote>
  <w:footnote w:id="1">
    <w:p w14:paraId="47DDE6B4" w14:textId="37062F24" w:rsidR="007D018B" w:rsidRPr="00AA4823" w:rsidRDefault="007D018B">
      <w:pPr>
        <w:pStyle w:val="Notedebasdepage"/>
        <w:rPr>
          <w:sz w:val="16"/>
          <w:lang w:val="fr-BE"/>
        </w:rPr>
      </w:pPr>
      <w:r>
        <w:rPr>
          <w:rStyle w:val="Appelnotedebasdep"/>
        </w:rPr>
        <w:footnoteRef/>
      </w:r>
      <w:r>
        <w:t xml:space="preserve"> </w:t>
      </w:r>
      <w:r w:rsidRPr="00AA4823">
        <w:rPr>
          <w:sz w:val="16"/>
          <w:lang w:val="fr-BE"/>
        </w:rPr>
        <w:t>Urgences 2015 – Chapitre 18 - Le médico-judiciaire et les urgence - C. GORGIARD ; C. REY-SALMON ; D. CANTIN ; C. HERVÉ. Relecture du docteur BISSEN pour contexte belge.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74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235"/>
      <w:gridCol w:w="5103"/>
      <w:gridCol w:w="2409"/>
    </w:tblGrid>
    <w:tr w:rsidR="007D018B" w:rsidRPr="00DA1C5F" w14:paraId="4DC6474D" w14:textId="77777777" w:rsidTr="00652332">
      <w:trPr>
        <w:trHeight w:val="340"/>
      </w:trPr>
      <w:tc>
        <w:tcPr>
          <w:tcW w:w="2235" w:type="dxa"/>
          <w:vMerge w:val="restart"/>
          <w:tcBorders>
            <w:top w:val="double" w:sz="4" w:space="0" w:color="auto"/>
          </w:tcBorders>
          <w:vAlign w:val="center"/>
        </w:tcPr>
        <w:p w14:paraId="4DC64747" w14:textId="77777777" w:rsidR="007D018B" w:rsidRPr="007F79B2" w:rsidRDefault="007D018B" w:rsidP="00DA1C5F">
          <w:pPr>
            <w:tabs>
              <w:tab w:val="center" w:pos="4536"/>
              <w:tab w:val="right" w:pos="9072"/>
            </w:tabs>
            <w:spacing w:line="240" w:lineRule="auto"/>
            <w:rPr>
              <w:b/>
              <w:sz w:val="18"/>
              <w:szCs w:val="18"/>
              <w:highlight w:val="green"/>
            </w:rPr>
          </w:pPr>
          <w:r>
            <w:rPr>
              <w:b/>
              <w:noProof/>
              <w:sz w:val="18"/>
              <w:szCs w:val="18"/>
              <w:lang w:eastAsia="fr-BE"/>
            </w:rPr>
            <w:drawing>
              <wp:inline distT="0" distB="0" distL="0" distR="0" wp14:anchorId="4DC64765" wp14:editId="209F9061">
                <wp:extent cx="1148944" cy="814902"/>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PMB_LOGO-CHUPMB_RGB.png"/>
                        <pic:cNvPicPr/>
                      </pic:nvPicPr>
                      <pic:blipFill>
                        <a:blip r:embed="rId1">
                          <a:extLst>
                            <a:ext uri="{28A0092B-C50C-407E-A947-70E740481C1C}">
                              <a14:useLocalDpi xmlns:a14="http://schemas.microsoft.com/office/drawing/2010/main" val="0"/>
                            </a:ext>
                          </a:extLst>
                        </a:blip>
                        <a:stretch>
                          <a:fillRect/>
                        </a:stretch>
                      </pic:blipFill>
                      <pic:spPr>
                        <a:xfrm>
                          <a:off x="0" y="0"/>
                          <a:ext cx="1152162" cy="817185"/>
                        </a:xfrm>
                        <a:prstGeom prst="rect">
                          <a:avLst/>
                        </a:prstGeom>
                      </pic:spPr>
                    </pic:pic>
                  </a:graphicData>
                </a:graphic>
              </wp:inline>
            </w:drawing>
          </w:r>
        </w:p>
      </w:tc>
      <w:tc>
        <w:tcPr>
          <w:tcW w:w="5103" w:type="dxa"/>
          <w:tcBorders>
            <w:top w:val="double" w:sz="4" w:space="0" w:color="auto"/>
          </w:tcBorders>
          <w:vAlign w:val="center"/>
        </w:tcPr>
        <w:p w14:paraId="4DC64748" w14:textId="5477E8BE" w:rsidR="007D018B" w:rsidRPr="00817F49" w:rsidRDefault="007D018B" w:rsidP="00951211">
          <w:pPr>
            <w:tabs>
              <w:tab w:val="left" w:pos="884"/>
              <w:tab w:val="center" w:pos="4536"/>
              <w:tab w:val="right" w:pos="9072"/>
            </w:tabs>
            <w:spacing w:line="240" w:lineRule="auto"/>
            <w:jc w:val="center"/>
            <w:rPr>
              <w:sz w:val="16"/>
              <w:szCs w:val="18"/>
            </w:rPr>
          </w:pPr>
          <w:r w:rsidRPr="00817F49">
            <w:rPr>
              <w:b/>
              <w:sz w:val="16"/>
              <w:szCs w:val="18"/>
            </w:rPr>
            <w:t xml:space="preserve">Processus : </w:t>
          </w:r>
          <w:r w:rsidR="00DA5DA6">
            <w:rPr>
              <w:sz w:val="16"/>
              <w:szCs w:val="18"/>
            </w:rPr>
            <w:t>_M - Ethique</w:t>
          </w:r>
        </w:p>
        <w:p w14:paraId="4DC64749" w14:textId="00AF14E1" w:rsidR="007D018B" w:rsidRPr="00817F49" w:rsidRDefault="007D018B" w:rsidP="00951211">
          <w:pPr>
            <w:tabs>
              <w:tab w:val="left" w:pos="884"/>
              <w:tab w:val="center" w:pos="4536"/>
              <w:tab w:val="right" w:pos="9072"/>
            </w:tabs>
            <w:spacing w:line="240" w:lineRule="auto"/>
            <w:jc w:val="center"/>
            <w:rPr>
              <w:sz w:val="16"/>
              <w:szCs w:val="18"/>
            </w:rPr>
          </w:pPr>
          <w:r w:rsidRPr="00817F49">
            <w:rPr>
              <w:b/>
              <w:sz w:val="16"/>
              <w:szCs w:val="18"/>
            </w:rPr>
            <w:t xml:space="preserve">Discipline : </w:t>
          </w:r>
          <w:r w:rsidR="00DA5DA6" w:rsidRPr="00DA5DA6">
            <w:rPr>
              <w:sz w:val="16"/>
              <w:szCs w:val="18"/>
            </w:rPr>
            <w:t>Ethique</w:t>
          </w:r>
        </w:p>
        <w:p w14:paraId="4DC6474A" w14:textId="3144ADC1" w:rsidR="007D018B" w:rsidRPr="00DA5DA6" w:rsidRDefault="007D018B" w:rsidP="00DA5DA6">
          <w:pPr>
            <w:tabs>
              <w:tab w:val="left" w:pos="884"/>
              <w:tab w:val="center" w:pos="4536"/>
              <w:tab w:val="right" w:pos="9072"/>
            </w:tabs>
            <w:spacing w:line="240" w:lineRule="auto"/>
            <w:jc w:val="center"/>
            <w:rPr>
              <w:sz w:val="18"/>
              <w:szCs w:val="18"/>
            </w:rPr>
          </w:pPr>
          <w:r w:rsidRPr="00817F49">
            <w:rPr>
              <w:b/>
              <w:sz w:val="16"/>
              <w:szCs w:val="18"/>
            </w:rPr>
            <w:t>Type :</w:t>
          </w:r>
          <w:r w:rsidR="00DA5DA6">
            <w:rPr>
              <w:b/>
              <w:sz w:val="16"/>
              <w:szCs w:val="18"/>
            </w:rPr>
            <w:t xml:space="preserve"> </w:t>
          </w:r>
          <w:r w:rsidR="00DA5DA6">
            <w:rPr>
              <w:sz w:val="16"/>
              <w:szCs w:val="18"/>
            </w:rPr>
            <w:t>Guide</w:t>
          </w:r>
        </w:p>
      </w:tc>
      <w:tc>
        <w:tcPr>
          <w:tcW w:w="2409" w:type="dxa"/>
          <w:tcBorders>
            <w:top w:val="double" w:sz="4" w:space="0" w:color="auto"/>
            <w:bottom w:val="single" w:sz="4" w:space="0" w:color="auto"/>
          </w:tcBorders>
          <w:vAlign w:val="center"/>
        </w:tcPr>
        <w:p w14:paraId="4DC6474B" w14:textId="77777777" w:rsidR="007D018B" w:rsidRPr="00817F49" w:rsidRDefault="007D018B" w:rsidP="005A3BF7">
          <w:pPr>
            <w:tabs>
              <w:tab w:val="center" w:pos="4536"/>
              <w:tab w:val="right" w:pos="9072"/>
            </w:tabs>
            <w:spacing w:line="240" w:lineRule="auto"/>
            <w:jc w:val="center"/>
            <w:rPr>
              <w:b/>
              <w:sz w:val="16"/>
              <w:szCs w:val="18"/>
            </w:rPr>
          </w:pPr>
          <w:r w:rsidRPr="00817F49">
            <w:rPr>
              <w:b/>
              <w:sz w:val="16"/>
              <w:szCs w:val="18"/>
            </w:rPr>
            <w:t>Référence :</w:t>
          </w:r>
        </w:p>
        <w:p w14:paraId="0AE0CB57" w14:textId="59434C06" w:rsidR="007D018B" w:rsidRPr="00817F49" w:rsidRDefault="00DA5DA6" w:rsidP="005A3BF7">
          <w:pPr>
            <w:tabs>
              <w:tab w:val="center" w:pos="4536"/>
              <w:tab w:val="right" w:pos="9072"/>
            </w:tabs>
            <w:spacing w:line="240" w:lineRule="auto"/>
            <w:jc w:val="center"/>
            <w:rPr>
              <w:sz w:val="16"/>
              <w:szCs w:val="18"/>
            </w:rPr>
          </w:pPr>
          <w:r w:rsidRPr="00DA5DA6">
            <w:rPr>
              <w:sz w:val="16"/>
              <w:szCs w:val="18"/>
            </w:rPr>
            <w:t>GED-GUI-00063</w:t>
          </w:r>
        </w:p>
        <w:p w14:paraId="4DC6474C" w14:textId="7DE4E13A" w:rsidR="007D018B" w:rsidRPr="00817F49" w:rsidRDefault="007D018B" w:rsidP="00DA5DA6">
          <w:pPr>
            <w:tabs>
              <w:tab w:val="center" w:pos="4536"/>
              <w:tab w:val="right" w:pos="9072"/>
            </w:tabs>
            <w:spacing w:line="240" w:lineRule="auto"/>
            <w:jc w:val="center"/>
            <w:rPr>
              <w:sz w:val="16"/>
              <w:szCs w:val="18"/>
            </w:rPr>
          </w:pPr>
          <w:r w:rsidRPr="00817F49">
            <w:rPr>
              <w:b/>
              <w:sz w:val="16"/>
              <w:szCs w:val="18"/>
            </w:rPr>
            <w:t>Version :</w:t>
          </w:r>
          <w:r w:rsidRPr="00817F49">
            <w:rPr>
              <w:sz w:val="16"/>
              <w:szCs w:val="18"/>
            </w:rPr>
            <w:t xml:space="preserve"> </w:t>
          </w:r>
          <w:r w:rsidR="00DA5DA6">
            <w:rPr>
              <w:sz w:val="16"/>
              <w:szCs w:val="18"/>
            </w:rPr>
            <w:t>001</w:t>
          </w:r>
        </w:p>
      </w:tc>
    </w:tr>
    <w:tr w:rsidR="007D018B" w:rsidRPr="00DA1C5F" w14:paraId="4DC64754" w14:textId="77777777" w:rsidTr="00652332">
      <w:trPr>
        <w:trHeight w:val="340"/>
      </w:trPr>
      <w:tc>
        <w:tcPr>
          <w:tcW w:w="2235" w:type="dxa"/>
          <w:vMerge/>
          <w:vAlign w:val="center"/>
        </w:tcPr>
        <w:p w14:paraId="4DC6474E" w14:textId="77777777" w:rsidR="007D018B" w:rsidRPr="00DA1C5F" w:rsidRDefault="007D018B" w:rsidP="00DA1C5F">
          <w:pPr>
            <w:tabs>
              <w:tab w:val="center" w:pos="4536"/>
              <w:tab w:val="right" w:pos="9072"/>
            </w:tabs>
            <w:spacing w:line="240" w:lineRule="auto"/>
            <w:rPr>
              <w:b/>
              <w:sz w:val="24"/>
              <w:szCs w:val="24"/>
            </w:rPr>
          </w:pPr>
        </w:p>
      </w:tc>
      <w:tc>
        <w:tcPr>
          <w:tcW w:w="5103" w:type="dxa"/>
          <w:vMerge w:val="restart"/>
          <w:shd w:val="clear" w:color="auto" w:fill="FF0000"/>
          <w:vAlign w:val="center"/>
        </w:tcPr>
        <w:p w14:paraId="4DC6474F" w14:textId="04295A32" w:rsidR="007D018B" w:rsidRPr="00817F49" w:rsidRDefault="00DA5DA6" w:rsidP="00A056FA">
          <w:pPr>
            <w:tabs>
              <w:tab w:val="center" w:pos="4536"/>
              <w:tab w:val="right" w:pos="9072"/>
            </w:tabs>
            <w:spacing w:line="240" w:lineRule="auto"/>
            <w:jc w:val="center"/>
            <w:rPr>
              <w:b/>
              <w:color w:val="FFFFFF" w:themeColor="background1"/>
              <w:sz w:val="22"/>
              <w:szCs w:val="24"/>
            </w:rPr>
          </w:pPr>
          <w:r w:rsidRPr="00DA5DA6">
            <w:rPr>
              <w:b/>
              <w:color w:val="FFFFFF" w:themeColor="background1"/>
              <w:sz w:val="22"/>
              <w:szCs w:val="24"/>
            </w:rPr>
            <w:t>HAP - Situations médico-légales au quotidien</w:t>
          </w:r>
        </w:p>
      </w:tc>
      <w:tc>
        <w:tcPr>
          <w:tcW w:w="2409" w:type="dxa"/>
          <w:tcBorders>
            <w:top w:val="single" w:sz="4" w:space="0" w:color="auto"/>
            <w:bottom w:val="single" w:sz="4" w:space="0" w:color="auto"/>
          </w:tcBorders>
          <w:vAlign w:val="center"/>
        </w:tcPr>
        <w:p w14:paraId="4DC64750" w14:textId="77777777" w:rsidR="007D018B" w:rsidRPr="00817F49" w:rsidRDefault="007D018B" w:rsidP="00E04DA0">
          <w:pPr>
            <w:tabs>
              <w:tab w:val="center" w:pos="4536"/>
              <w:tab w:val="right" w:pos="9072"/>
            </w:tabs>
            <w:spacing w:line="240" w:lineRule="auto"/>
            <w:jc w:val="center"/>
            <w:rPr>
              <w:rFonts w:cstheme="minorHAnsi"/>
              <w:sz w:val="16"/>
              <w:szCs w:val="18"/>
            </w:rPr>
          </w:pPr>
          <w:r w:rsidRPr="00817F49">
            <w:rPr>
              <w:b/>
              <w:sz w:val="16"/>
              <w:szCs w:val="18"/>
            </w:rPr>
            <w:t>Date d’application :</w:t>
          </w:r>
        </w:p>
        <w:p w14:paraId="4DC64751" w14:textId="3A95B0D3" w:rsidR="007D018B" w:rsidRPr="00817F49" w:rsidRDefault="00DA5DA6" w:rsidP="00E04DA0">
          <w:pPr>
            <w:tabs>
              <w:tab w:val="center" w:pos="4536"/>
              <w:tab w:val="right" w:pos="9072"/>
            </w:tabs>
            <w:spacing w:line="240" w:lineRule="auto"/>
            <w:jc w:val="center"/>
            <w:rPr>
              <w:rFonts w:cstheme="minorHAnsi"/>
              <w:sz w:val="16"/>
              <w:szCs w:val="18"/>
            </w:rPr>
          </w:pPr>
          <w:r>
            <w:rPr>
              <w:rFonts w:cstheme="minorHAnsi"/>
              <w:sz w:val="16"/>
              <w:szCs w:val="18"/>
            </w:rPr>
            <w:t>09/05/2022</w:t>
          </w:r>
        </w:p>
        <w:p w14:paraId="4DC64752" w14:textId="77777777" w:rsidR="007D018B" w:rsidRPr="00817F49" w:rsidRDefault="007D018B" w:rsidP="005A3BF7">
          <w:pPr>
            <w:tabs>
              <w:tab w:val="center" w:pos="4536"/>
              <w:tab w:val="right" w:pos="9072"/>
            </w:tabs>
            <w:spacing w:line="240" w:lineRule="auto"/>
            <w:jc w:val="center"/>
            <w:rPr>
              <w:rFonts w:cstheme="minorHAnsi"/>
              <w:sz w:val="16"/>
              <w:szCs w:val="18"/>
            </w:rPr>
          </w:pPr>
          <w:r w:rsidRPr="00817F49">
            <w:rPr>
              <w:b/>
              <w:sz w:val="16"/>
              <w:szCs w:val="18"/>
            </w:rPr>
            <w:t>Date limite validité :</w:t>
          </w:r>
        </w:p>
        <w:p w14:paraId="4DC64753" w14:textId="7D01CF14" w:rsidR="007D018B" w:rsidRPr="00817F49" w:rsidRDefault="00DA5DA6" w:rsidP="005A3BF7">
          <w:pPr>
            <w:tabs>
              <w:tab w:val="center" w:pos="4536"/>
              <w:tab w:val="right" w:pos="9072"/>
            </w:tabs>
            <w:spacing w:line="240" w:lineRule="auto"/>
            <w:jc w:val="center"/>
            <w:rPr>
              <w:sz w:val="16"/>
              <w:szCs w:val="18"/>
            </w:rPr>
          </w:pPr>
          <w:r>
            <w:rPr>
              <w:rFonts w:cstheme="minorHAnsi"/>
              <w:sz w:val="16"/>
              <w:szCs w:val="18"/>
            </w:rPr>
            <w:t>09/05/2025</w:t>
          </w:r>
        </w:p>
      </w:tc>
    </w:tr>
    <w:tr w:rsidR="007D018B" w:rsidRPr="00F272BF" w14:paraId="4DC64758" w14:textId="77777777" w:rsidTr="00652332">
      <w:trPr>
        <w:trHeight w:val="416"/>
      </w:trPr>
      <w:tc>
        <w:tcPr>
          <w:tcW w:w="2235" w:type="dxa"/>
        </w:tcPr>
        <w:p w14:paraId="4DC64755" w14:textId="244A74F5" w:rsidR="007D018B" w:rsidRPr="00924422" w:rsidRDefault="007D018B" w:rsidP="00DA5DA6">
          <w:pPr>
            <w:tabs>
              <w:tab w:val="center" w:pos="4536"/>
              <w:tab w:val="right" w:pos="9072"/>
            </w:tabs>
            <w:spacing w:line="240" w:lineRule="auto"/>
            <w:ind w:left="113"/>
            <w:rPr>
              <w:sz w:val="16"/>
              <w:szCs w:val="16"/>
            </w:rPr>
          </w:pPr>
          <w:r w:rsidRPr="00924422">
            <w:rPr>
              <w:b/>
              <w:sz w:val="16"/>
              <w:szCs w:val="16"/>
            </w:rPr>
            <w:t xml:space="preserve">Site : </w:t>
          </w:r>
          <w:r w:rsidR="00DA5DA6">
            <w:rPr>
              <w:sz w:val="16"/>
              <w:szCs w:val="16"/>
            </w:rPr>
            <w:t>Ambroise Paré</w:t>
          </w:r>
        </w:p>
      </w:tc>
      <w:tc>
        <w:tcPr>
          <w:tcW w:w="5103" w:type="dxa"/>
          <w:vMerge/>
          <w:shd w:val="clear" w:color="auto" w:fill="FF0000"/>
          <w:vAlign w:val="center"/>
        </w:tcPr>
        <w:p w14:paraId="4DC64756" w14:textId="77777777" w:rsidR="007D018B" w:rsidRPr="007A4E26" w:rsidRDefault="007D018B" w:rsidP="00B511D0">
          <w:pPr>
            <w:tabs>
              <w:tab w:val="center" w:pos="4536"/>
              <w:tab w:val="right" w:pos="9072"/>
            </w:tabs>
            <w:spacing w:line="240" w:lineRule="auto"/>
            <w:jc w:val="center"/>
            <w:rPr>
              <w:b/>
              <w:i/>
              <w:caps/>
              <w:sz w:val="28"/>
              <w:szCs w:val="28"/>
            </w:rPr>
          </w:pPr>
        </w:p>
      </w:tc>
      <w:tc>
        <w:tcPr>
          <w:tcW w:w="2409" w:type="dxa"/>
          <w:tcBorders>
            <w:top w:val="single" w:sz="4" w:space="0" w:color="auto"/>
            <w:bottom w:val="single" w:sz="4" w:space="0" w:color="auto"/>
          </w:tcBorders>
          <w:vAlign w:val="center"/>
        </w:tcPr>
        <w:p w14:paraId="4DC64757" w14:textId="4E6310D7" w:rsidR="007D018B" w:rsidRPr="00817F49" w:rsidRDefault="007D018B" w:rsidP="00ED32B3">
          <w:pPr>
            <w:tabs>
              <w:tab w:val="center" w:pos="4536"/>
              <w:tab w:val="right" w:pos="9072"/>
            </w:tabs>
            <w:spacing w:line="240" w:lineRule="auto"/>
            <w:jc w:val="center"/>
            <w:rPr>
              <w:rFonts w:cstheme="minorHAnsi"/>
              <w:sz w:val="16"/>
              <w:szCs w:val="18"/>
            </w:rPr>
          </w:pPr>
          <w:r w:rsidRPr="00817F49">
            <w:rPr>
              <w:rFonts w:cstheme="minorHAnsi"/>
              <w:sz w:val="16"/>
              <w:szCs w:val="18"/>
              <w:lang w:val="fr-FR"/>
            </w:rPr>
            <w:t xml:space="preserve">Page </w:t>
          </w:r>
          <w:r w:rsidRPr="00817F49">
            <w:rPr>
              <w:rFonts w:cstheme="minorHAnsi"/>
              <w:b/>
              <w:sz w:val="16"/>
              <w:szCs w:val="18"/>
            </w:rPr>
            <w:fldChar w:fldCharType="begin"/>
          </w:r>
          <w:r w:rsidRPr="00817F49">
            <w:rPr>
              <w:rFonts w:cstheme="minorHAnsi"/>
              <w:b/>
              <w:sz w:val="16"/>
              <w:szCs w:val="18"/>
            </w:rPr>
            <w:instrText>PAGE  \* Arabic  \* MERGEFORMAT</w:instrText>
          </w:r>
          <w:r w:rsidRPr="00817F49">
            <w:rPr>
              <w:rFonts w:cstheme="minorHAnsi"/>
              <w:b/>
              <w:sz w:val="16"/>
              <w:szCs w:val="18"/>
            </w:rPr>
            <w:fldChar w:fldCharType="separate"/>
          </w:r>
          <w:r w:rsidR="00DA5DA6" w:rsidRPr="00DA5DA6">
            <w:rPr>
              <w:rFonts w:cstheme="minorHAnsi"/>
              <w:b/>
              <w:noProof/>
              <w:sz w:val="16"/>
              <w:szCs w:val="18"/>
              <w:lang w:val="fr-FR"/>
            </w:rPr>
            <w:t>10</w:t>
          </w:r>
          <w:r w:rsidRPr="00817F49">
            <w:rPr>
              <w:rFonts w:cstheme="minorHAnsi"/>
              <w:b/>
              <w:sz w:val="16"/>
              <w:szCs w:val="18"/>
            </w:rPr>
            <w:fldChar w:fldCharType="end"/>
          </w:r>
          <w:r w:rsidRPr="00817F49">
            <w:rPr>
              <w:rFonts w:cstheme="minorHAnsi"/>
              <w:sz w:val="16"/>
              <w:szCs w:val="18"/>
              <w:lang w:val="fr-FR"/>
            </w:rPr>
            <w:t xml:space="preserve"> sur </w:t>
          </w:r>
          <w:r w:rsidRPr="00817F49">
            <w:rPr>
              <w:rFonts w:cstheme="minorHAnsi"/>
              <w:b/>
              <w:sz w:val="16"/>
              <w:szCs w:val="18"/>
            </w:rPr>
            <w:fldChar w:fldCharType="begin"/>
          </w:r>
          <w:r w:rsidRPr="00817F49">
            <w:rPr>
              <w:rFonts w:cstheme="minorHAnsi"/>
              <w:b/>
              <w:sz w:val="16"/>
              <w:szCs w:val="18"/>
            </w:rPr>
            <w:instrText>NUMPAGES  \* Arabic  \* MERGEFORMAT</w:instrText>
          </w:r>
          <w:r w:rsidRPr="00817F49">
            <w:rPr>
              <w:rFonts w:cstheme="minorHAnsi"/>
              <w:b/>
              <w:sz w:val="16"/>
              <w:szCs w:val="18"/>
            </w:rPr>
            <w:fldChar w:fldCharType="separate"/>
          </w:r>
          <w:r w:rsidR="00DA5DA6" w:rsidRPr="00DA5DA6">
            <w:rPr>
              <w:rFonts w:cstheme="minorHAnsi"/>
              <w:b/>
              <w:noProof/>
              <w:sz w:val="16"/>
              <w:szCs w:val="18"/>
              <w:lang w:val="fr-FR"/>
            </w:rPr>
            <w:t>10</w:t>
          </w:r>
          <w:r w:rsidRPr="00817F49">
            <w:rPr>
              <w:rFonts w:cstheme="minorHAnsi"/>
              <w:b/>
              <w:sz w:val="16"/>
              <w:szCs w:val="18"/>
            </w:rPr>
            <w:fldChar w:fldCharType="end"/>
          </w:r>
        </w:p>
      </w:tc>
    </w:tr>
    <w:tr w:rsidR="007D018B" w:rsidRPr="00F272BF" w14:paraId="4DC6475D" w14:textId="77777777" w:rsidTr="00652332">
      <w:trPr>
        <w:trHeight w:val="374"/>
      </w:trPr>
      <w:tc>
        <w:tcPr>
          <w:tcW w:w="2235" w:type="dxa"/>
        </w:tcPr>
        <w:p w14:paraId="4DC64759" w14:textId="77777777" w:rsidR="007D018B" w:rsidRPr="00DA1C5F" w:rsidRDefault="007D018B" w:rsidP="00DA1C5F">
          <w:pPr>
            <w:tabs>
              <w:tab w:val="center" w:pos="4536"/>
              <w:tab w:val="right" w:pos="9072"/>
            </w:tabs>
            <w:spacing w:line="240" w:lineRule="auto"/>
            <w:jc w:val="center"/>
            <w:rPr>
              <w:b/>
            </w:rPr>
          </w:pPr>
        </w:p>
      </w:tc>
      <w:tc>
        <w:tcPr>
          <w:tcW w:w="5103" w:type="dxa"/>
          <w:vMerge/>
          <w:shd w:val="clear" w:color="auto" w:fill="FF0000"/>
        </w:tcPr>
        <w:p w14:paraId="4DC6475A" w14:textId="77777777" w:rsidR="007D018B" w:rsidRPr="00DA1C5F" w:rsidRDefault="007D018B" w:rsidP="00DA1C5F">
          <w:pPr>
            <w:tabs>
              <w:tab w:val="center" w:pos="4536"/>
              <w:tab w:val="right" w:pos="9072"/>
            </w:tabs>
            <w:spacing w:line="240" w:lineRule="auto"/>
            <w:rPr>
              <w:b/>
            </w:rPr>
          </w:pPr>
        </w:p>
      </w:tc>
      <w:tc>
        <w:tcPr>
          <w:tcW w:w="2409" w:type="dxa"/>
          <w:tcBorders>
            <w:top w:val="single" w:sz="4" w:space="0" w:color="auto"/>
            <w:bottom w:val="single" w:sz="4" w:space="0" w:color="auto"/>
          </w:tcBorders>
          <w:vAlign w:val="center"/>
        </w:tcPr>
        <w:p w14:paraId="4DC6475B" w14:textId="77777777" w:rsidR="007D018B" w:rsidRDefault="007D018B" w:rsidP="00ED32B3">
          <w:pPr>
            <w:tabs>
              <w:tab w:val="center" w:pos="4536"/>
              <w:tab w:val="right" w:pos="9072"/>
            </w:tabs>
            <w:spacing w:line="240" w:lineRule="auto"/>
            <w:jc w:val="center"/>
            <w:rPr>
              <w:rFonts w:cstheme="minorHAnsi"/>
              <w:sz w:val="18"/>
              <w:szCs w:val="18"/>
            </w:rPr>
          </w:pPr>
          <w:r w:rsidRPr="00DC702C">
            <w:rPr>
              <w:b/>
              <w:sz w:val="18"/>
              <w:szCs w:val="18"/>
            </w:rPr>
            <w:t xml:space="preserve">Date de </w:t>
          </w:r>
          <w:r>
            <w:rPr>
              <w:b/>
              <w:sz w:val="18"/>
              <w:szCs w:val="18"/>
            </w:rPr>
            <w:t>révision</w:t>
          </w:r>
          <w:r w:rsidRPr="00DC702C">
            <w:rPr>
              <w:b/>
              <w:sz w:val="18"/>
              <w:szCs w:val="18"/>
            </w:rPr>
            <w:t>:</w:t>
          </w:r>
        </w:p>
        <w:p w14:paraId="4DC6475C" w14:textId="77777777" w:rsidR="007D018B" w:rsidRPr="00DC702C" w:rsidRDefault="007D018B" w:rsidP="00ED32B3">
          <w:pPr>
            <w:tabs>
              <w:tab w:val="center" w:pos="4536"/>
              <w:tab w:val="right" w:pos="9072"/>
            </w:tabs>
            <w:spacing w:line="240" w:lineRule="auto"/>
            <w:jc w:val="center"/>
            <w:rPr>
              <w:b/>
              <w:sz w:val="18"/>
              <w:szCs w:val="18"/>
            </w:rPr>
          </w:pPr>
          <w:r w:rsidRPr="00ED32B3">
            <w:rPr>
              <w:b/>
              <w:sz w:val="18"/>
              <w:szCs w:val="18"/>
              <w:lang w:val="fr-FR"/>
            </w:rPr>
            <w:object w:dxaOrig="9791" w:dyaOrig="13637" w14:anchorId="4DC64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681.95pt">
                <v:imagedata r:id="rId2" o:title=""/>
              </v:shape>
              <o:OLEObject Type="Embed" ProgID="Word.Document.12" ShapeID="_x0000_i1025" DrawAspect="Content" ObjectID="_1723359162" r:id="rId3">
                <o:FieldCodes>\s</o:FieldCodes>
              </o:OLEObject>
            </w:object>
          </w:r>
          <w:r w:rsidRPr="00ED32B3">
            <w:rPr>
              <w:b/>
              <w:sz w:val="18"/>
              <w:szCs w:val="18"/>
              <w:lang w:val="fr-FR"/>
            </w:rPr>
            <w:object w:dxaOrig="9791" w:dyaOrig="14094" w14:anchorId="4DC64768">
              <v:shape id="_x0000_i1026" type="#_x0000_t75" style="width:489.5pt;height:704.7pt">
                <v:imagedata r:id="rId4" o:title=""/>
              </v:shape>
              <o:OLEObject Type="Embed" ProgID="Word.Document.12" ShapeID="_x0000_i1026" DrawAspect="Content" ObjectID="_1723359163" r:id="rId5">
                <o:FieldCodes>\s</o:FieldCodes>
              </o:OLEObject>
            </w:object>
          </w:r>
          <w:r w:rsidRPr="00ED32B3">
            <w:rPr>
              <w:b/>
              <w:sz w:val="18"/>
              <w:szCs w:val="18"/>
              <w:lang w:val="fr-FR"/>
            </w:rPr>
            <w:object w:dxaOrig="9801" w:dyaOrig="11836" w14:anchorId="4DC64769">
              <v:shape id="_x0000_i1027" type="#_x0000_t75" style="width:489.5pt;height:591.7pt">
                <v:imagedata r:id="rId6" o:title=""/>
              </v:shape>
              <o:OLEObject Type="Embed" ProgID="Word.Document.12" ShapeID="_x0000_i1027" DrawAspect="Content" ObjectID="_1723359164" r:id="rId7">
                <o:FieldCodes>\s</o:FieldCodes>
              </o:OLEObject>
            </w:object>
          </w:r>
        </w:p>
      </w:tc>
    </w:tr>
    <w:tr w:rsidR="007D018B" w:rsidRPr="00DA1C5F" w14:paraId="4DC64761" w14:textId="77777777" w:rsidTr="00652332">
      <w:trPr>
        <w:trHeight w:val="30"/>
      </w:trPr>
      <w:tc>
        <w:tcPr>
          <w:tcW w:w="2235" w:type="dxa"/>
          <w:vAlign w:val="center"/>
        </w:tcPr>
        <w:p w14:paraId="4DC6475E" w14:textId="77777777" w:rsidR="007D018B" w:rsidRPr="00DA1C5F" w:rsidRDefault="007D018B" w:rsidP="00DA1C5F">
          <w:pPr>
            <w:tabs>
              <w:tab w:val="center" w:pos="4536"/>
              <w:tab w:val="right" w:pos="9072"/>
            </w:tabs>
            <w:spacing w:line="240" w:lineRule="auto"/>
            <w:rPr>
              <w:b/>
            </w:rPr>
          </w:pPr>
        </w:p>
      </w:tc>
      <w:tc>
        <w:tcPr>
          <w:tcW w:w="5103" w:type="dxa"/>
          <w:vMerge/>
          <w:shd w:val="clear" w:color="auto" w:fill="FF0000"/>
        </w:tcPr>
        <w:p w14:paraId="4DC6475F" w14:textId="77777777" w:rsidR="007D018B" w:rsidRPr="00791431" w:rsidRDefault="007D018B" w:rsidP="00875588">
          <w:pPr>
            <w:pStyle w:val="En-tte"/>
            <w:rPr>
              <w:sz w:val="18"/>
              <w:szCs w:val="18"/>
              <w:highlight w:val="green"/>
            </w:rPr>
          </w:pPr>
        </w:p>
      </w:tc>
      <w:tc>
        <w:tcPr>
          <w:tcW w:w="2409" w:type="dxa"/>
          <w:tcBorders>
            <w:top w:val="single" w:sz="4" w:space="0" w:color="auto"/>
          </w:tcBorders>
          <w:vAlign w:val="center"/>
        </w:tcPr>
        <w:p w14:paraId="4DC64760" w14:textId="57DF97C3" w:rsidR="007D018B" w:rsidRPr="00DC702C" w:rsidRDefault="007D018B" w:rsidP="00DA1C5F">
          <w:pPr>
            <w:tabs>
              <w:tab w:val="center" w:pos="4536"/>
              <w:tab w:val="right" w:pos="9072"/>
            </w:tabs>
            <w:spacing w:line="240" w:lineRule="auto"/>
            <w:jc w:val="center"/>
            <w:rPr>
              <w:sz w:val="18"/>
              <w:szCs w:val="18"/>
            </w:rPr>
          </w:pPr>
          <w:r w:rsidRPr="00DC702C">
            <w:rPr>
              <w:sz w:val="18"/>
              <w:szCs w:val="18"/>
            </w:rPr>
            <w:t xml:space="preserve">Page </w:t>
          </w:r>
          <w:r w:rsidRPr="00DC702C">
            <w:rPr>
              <w:b/>
              <w:sz w:val="18"/>
              <w:szCs w:val="18"/>
            </w:rPr>
            <w:fldChar w:fldCharType="begin"/>
          </w:r>
          <w:r w:rsidRPr="00DC702C">
            <w:rPr>
              <w:b/>
              <w:sz w:val="18"/>
              <w:szCs w:val="18"/>
            </w:rPr>
            <w:instrText>PAGE  \* Arabic  \* MERGEFORMAT</w:instrText>
          </w:r>
          <w:r w:rsidRPr="00DC702C">
            <w:rPr>
              <w:b/>
              <w:sz w:val="18"/>
              <w:szCs w:val="18"/>
            </w:rPr>
            <w:fldChar w:fldCharType="separate"/>
          </w:r>
          <w:r w:rsidR="00DA5DA6" w:rsidRPr="00DA5DA6">
            <w:rPr>
              <w:b/>
              <w:noProof/>
              <w:sz w:val="18"/>
              <w:szCs w:val="18"/>
              <w:lang w:val="fr-FR"/>
            </w:rPr>
            <w:t>10</w:t>
          </w:r>
          <w:r w:rsidRPr="00DC702C">
            <w:rPr>
              <w:b/>
              <w:sz w:val="18"/>
              <w:szCs w:val="18"/>
            </w:rPr>
            <w:fldChar w:fldCharType="end"/>
          </w:r>
          <w:r w:rsidRPr="00DC702C">
            <w:rPr>
              <w:sz w:val="18"/>
              <w:szCs w:val="18"/>
            </w:rPr>
            <w:t xml:space="preserve"> sur </w:t>
          </w:r>
          <w:r w:rsidRPr="00DC702C">
            <w:rPr>
              <w:b/>
              <w:sz w:val="18"/>
              <w:szCs w:val="18"/>
            </w:rPr>
            <w:fldChar w:fldCharType="begin"/>
          </w:r>
          <w:r w:rsidRPr="00DC702C">
            <w:rPr>
              <w:b/>
              <w:sz w:val="18"/>
              <w:szCs w:val="18"/>
            </w:rPr>
            <w:instrText>NUMPAGES  \* Arabic  \* MERGEFORMAT</w:instrText>
          </w:r>
          <w:r w:rsidRPr="00DC702C">
            <w:rPr>
              <w:b/>
              <w:sz w:val="18"/>
              <w:szCs w:val="18"/>
            </w:rPr>
            <w:fldChar w:fldCharType="separate"/>
          </w:r>
          <w:r w:rsidR="00DA5DA6" w:rsidRPr="00DA5DA6">
            <w:rPr>
              <w:b/>
              <w:noProof/>
              <w:sz w:val="18"/>
              <w:szCs w:val="18"/>
              <w:lang w:val="fr-FR"/>
            </w:rPr>
            <w:t>10</w:t>
          </w:r>
          <w:r w:rsidRPr="00DC702C">
            <w:rPr>
              <w:b/>
              <w:sz w:val="18"/>
              <w:szCs w:val="18"/>
            </w:rPr>
            <w:fldChar w:fldCharType="end"/>
          </w:r>
        </w:p>
      </w:tc>
    </w:tr>
  </w:tbl>
  <w:p w14:paraId="4DC64762" w14:textId="77777777" w:rsidR="007D018B" w:rsidRDefault="007D018B" w:rsidP="007F79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EF2"/>
    <w:multiLevelType w:val="hybridMultilevel"/>
    <w:tmpl w:val="D3A887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935D01"/>
    <w:multiLevelType w:val="hybridMultilevel"/>
    <w:tmpl w:val="D882B4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7771CA"/>
    <w:multiLevelType w:val="hybridMultilevel"/>
    <w:tmpl w:val="3AB0F3B6"/>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DE65D7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A396A"/>
    <w:multiLevelType w:val="hybridMultilevel"/>
    <w:tmpl w:val="B87267B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E464E28"/>
    <w:multiLevelType w:val="hybridMultilevel"/>
    <w:tmpl w:val="F74E1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F10D59"/>
    <w:multiLevelType w:val="hybridMultilevel"/>
    <w:tmpl w:val="3DDA54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F271D0"/>
    <w:multiLevelType w:val="hybridMultilevel"/>
    <w:tmpl w:val="F77CF286"/>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8" w15:restartNumberingAfterBreak="0">
    <w:nsid w:val="214455EF"/>
    <w:multiLevelType w:val="hybridMultilevel"/>
    <w:tmpl w:val="8DD6EC32"/>
    <w:lvl w:ilvl="0" w:tplc="3FE0FE78">
      <w:numFmt w:val="bullet"/>
      <w:lvlText w:val="-"/>
      <w:lvlJc w:val="left"/>
      <w:pPr>
        <w:ind w:left="2700" w:hanging="360"/>
      </w:pPr>
      <w:rPr>
        <w:rFonts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9" w15:restartNumberingAfterBreak="0">
    <w:nsid w:val="2BDF324A"/>
    <w:multiLevelType w:val="hybridMultilevel"/>
    <w:tmpl w:val="0048446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C2832FE"/>
    <w:multiLevelType w:val="multilevel"/>
    <w:tmpl w:val="D31426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31735036"/>
    <w:multiLevelType w:val="hybridMultilevel"/>
    <w:tmpl w:val="E244D824"/>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2" w15:restartNumberingAfterBreak="0">
    <w:nsid w:val="31AD6BF5"/>
    <w:multiLevelType w:val="hybridMultilevel"/>
    <w:tmpl w:val="A70AD128"/>
    <w:lvl w:ilvl="0" w:tplc="A6942292">
      <w:start w:val="1"/>
      <w:numFmt w:val="decimal"/>
      <w:lvlText w:val="%1."/>
      <w:lvlJc w:val="left"/>
      <w:pPr>
        <w:ind w:left="36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7B67663"/>
    <w:multiLevelType w:val="multilevel"/>
    <w:tmpl w:val="5CE06E1C"/>
    <w:lvl w:ilvl="0">
      <w:start w:val="1"/>
      <w:numFmt w:val="decimal"/>
      <w:pStyle w:val="Titre1"/>
      <w:lvlText w:val="%1."/>
      <w:lvlJc w:val="left"/>
      <w:pPr>
        <w:ind w:left="360" w:hanging="360"/>
      </w:pPr>
      <w:rPr>
        <w:rFonts w:hint="default"/>
        <w:b/>
        <w:color w:val="17365D" w:themeColor="text2" w:themeShade="BF"/>
        <w:sz w:val="28"/>
        <w:szCs w:val="24"/>
      </w:rPr>
    </w:lvl>
    <w:lvl w:ilvl="1">
      <w:start w:val="1"/>
      <w:numFmt w:val="decimal"/>
      <w:pStyle w:val="Titre2"/>
      <w:lvlText w:val="%1.%2"/>
      <w:lvlJc w:val="left"/>
      <w:pPr>
        <w:ind w:left="860"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9F9354F"/>
    <w:multiLevelType w:val="hybridMultilevel"/>
    <w:tmpl w:val="94A04124"/>
    <w:lvl w:ilvl="0" w:tplc="3FE0FE78">
      <w:numFmt w:val="bullet"/>
      <w:lvlText w:val="-"/>
      <w:lvlJc w:val="left"/>
      <w:pPr>
        <w:tabs>
          <w:tab w:val="num" w:pos="1068"/>
        </w:tabs>
        <w:ind w:left="1068" w:hanging="360"/>
      </w:pPr>
      <w:rPr>
        <w:rFont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C013B3D"/>
    <w:multiLevelType w:val="hybridMultilevel"/>
    <w:tmpl w:val="E5EAF598"/>
    <w:lvl w:ilvl="0" w:tplc="4DB47E9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B15D78"/>
    <w:multiLevelType w:val="hybridMultilevel"/>
    <w:tmpl w:val="5192BF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202AC6"/>
    <w:multiLevelType w:val="hybridMultilevel"/>
    <w:tmpl w:val="A70AD128"/>
    <w:lvl w:ilvl="0" w:tplc="A6942292">
      <w:start w:val="1"/>
      <w:numFmt w:val="decimal"/>
      <w:lvlText w:val="%1."/>
      <w:lvlJc w:val="left"/>
      <w:pPr>
        <w:ind w:left="36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F03A1A"/>
    <w:multiLevelType w:val="hybridMultilevel"/>
    <w:tmpl w:val="569E4E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A067305"/>
    <w:multiLevelType w:val="hybridMultilevel"/>
    <w:tmpl w:val="95C8BA4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5CC417C9"/>
    <w:multiLevelType w:val="hybridMultilevel"/>
    <w:tmpl w:val="58D431CA"/>
    <w:lvl w:ilvl="0" w:tplc="7D8C0BD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73758C"/>
    <w:multiLevelType w:val="hybridMultilevel"/>
    <w:tmpl w:val="A70AD128"/>
    <w:lvl w:ilvl="0" w:tplc="A6942292">
      <w:start w:val="1"/>
      <w:numFmt w:val="decimal"/>
      <w:lvlText w:val="%1."/>
      <w:lvlJc w:val="left"/>
      <w:pPr>
        <w:ind w:left="36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68F3821"/>
    <w:multiLevelType w:val="hybridMultilevel"/>
    <w:tmpl w:val="018CA6C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9F6459B"/>
    <w:multiLevelType w:val="hybridMultilevel"/>
    <w:tmpl w:val="0426660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6D312D5C"/>
    <w:multiLevelType w:val="hybridMultilevel"/>
    <w:tmpl w:val="42202DD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D965813"/>
    <w:multiLevelType w:val="hybridMultilevel"/>
    <w:tmpl w:val="11C041F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12A2186"/>
    <w:multiLevelType w:val="hybridMultilevel"/>
    <w:tmpl w:val="7A8835B6"/>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7" w15:restartNumberingAfterBreak="0">
    <w:nsid w:val="72004956"/>
    <w:multiLevelType w:val="hybridMultilevel"/>
    <w:tmpl w:val="63261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BE36C8"/>
    <w:multiLevelType w:val="hybridMultilevel"/>
    <w:tmpl w:val="96BA01BE"/>
    <w:lvl w:ilvl="0" w:tplc="080C0001">
      <w:start w:val="1"/>
      <w:numFmt w:val="bullet"/>
      <w:lvlText w:val=""/>
      <w:lvlJc w:val="left"/>
      <w:pPr>
        <w:ind w:left="765" w:hanging="360"/>
      </w:pPr>
      <w:rPr>
        <w:rFonts w:ascii="Symbol" w:hAnsi="Symbol" w:hint="default"/>
      </w:rPr>
    </w:lvl>
    <w:lvl w:ilvl="1" w:tplc="080C0003">
      <w:start w:val="1"/>
      <w:numFmt w:val="bullet"/>
      <w:lvlText w:val="o"/>
      <w:lvlJc w:val="left"/>
      <w:pPr>
        <w:ind w:left="1485" w:hanging="360"/>
      </w:pPr>
      <w:rPr>
        <w:rFonts w:ascii="Courier New" w:hAnsi="Courier New" w:cs="Courier New" w:hint="default"/>
      </w:rPr>
    </w:lvl>
    <w:lvl w:ilvl="2" w:tplc="080C0005">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9" w15:restartNumberingAfterBreak="0">
    <w:nsid w:val="787E48AD"/>
    <w:multiLevelType w:val="hybridMultilevel"/>
    <w:tmpl w:val="2760D868"/>
    <w:lvl w:ilvl="0" w:tplc="D006F7A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9E2164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4710D5"/>
    <w:multiLevelType w:val="multilevel"/>
    <w:tmpl w:val="C392453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upp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0"/>
  </w:num>
  <w:num w:numId="2">
    <w:abstractNumId w:val="29"/>
  </w:num>
  <w:num w:numId="3">
    <w:abstractNumId w:val="31"/>
  </w:num>
  <w:num w:numId="4">
    <w:abstractNumId w:val="14"/>
  </w:num>
  <w:num w:numId="5">
    <w:abstractNumId w:val="16"/>
  </w:num>
  <w:num w:numId="6">
    <w:abstractNumId w:val="27"/>
  </w:num>
  <w:num w:numId="7">
    <w:abstractNumId w:val="19"/>
  </w:num>
  <w:num w:numId="8">
    <w:abstractNumId w:val="8"/>
  </w:num>
  <w:num w:numId="9">
    <w:abstractNumId w:val="15"/>
  </w:num>
  <w:num w:numId="10">
    <w:abstractNumId w:val="26"/>
  </w:num>
  <w:num w:numId="11">
    <w:abstractNumId w:val="7"/>
  </w:num>
  <w:num w:numId="12">
    <w:abstractNumId w:val="15"/>
  </w:num>
  <w:num w:numId="13">
    <w:abstractNumId w:val="30"/>
  </w:num>
  <w:num w:numId="14">
    <w:abstractNumId w:val="3"/>
  </w:num>
  <w:num w:numId="15">
    <w:abstractNumId w:val="10"/>
  </w:num>
  <w:num w:numId="16">
    <w:abstractNumId w:val="13"/>
  </w:num>
  <w:num w:numId="17">
    <w:abstractNumId w:val="13"/>
  </w:num>
  <w:num w:numId="18">
    <w:abstractNumId w:val="9"/>
  </w:num>
  <w:num w:numId="19">
    <w:abstractNumId w:val="28"/>
  </w:num>
  <w:num w:numId="20">
    <w:abstractNumId w:val="5"/>
  </w:num>
  <w:num w:numId="21">
    <w:abstractNumId w:val="18"/>
  </w:num>
  <w:num w:numId="22">
    <w:abstractNumId w:val="11"/>
  </w:num>
  <w:num w:numId="23">
    <w:abstractNumId w:val="22"/>
  </w:num>
  <w:num w:numId="24">
    <w:abstractNumId w:val="0"/>
  </w:num>
  <w:num w:numId="25">
    <w:abstractNumId w:val="24"/>
  </w:num>
  <w:num w:numId="26">
    <w:abstractNumId w:val="25"/>
  </w:num>
  <w:num w:numId="27">
    <w:abstractNumId w:val="4"/>
  </w:num>
  <w:num w:numId="28">
    <w:abstractNumId w:val="1"/>
  </w:num>
  <w:num w:numId="29">
    <w:abstractNumId w:val="6"/>
  </w:num>
  <w:num w:numId="30">
    <w:abstractNumId w:val="23"/>
  </w:num>
  <w:num w:numId="31">
    <w:abstractNumId w:val="2"/>
  </w:num>
  <w:num w:numId="32">
    <w:abstractNumId w:val="21"/>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attachedTemplate r:id="rId1"/>
  <w:defaultTabStop w:val="708"/>
  <w:hyphenationZone w:val="425"/>
  <w:characterSpacingControl w:val="doNotCompress"/>
  <w:hdrShapeDefaults>
    <o:shapedefaults v:ext="edit" spidmax="6349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90"/>
    <w:rsid w:val="00007B9B"/>
    <w:rsid w:val="00011539"/>
    <w:rsid w:val="00011BB1"/>
    <w:rsid w:val="0001351F"/>
    <w:rsid w:val="00013F9E"/>
    <w:rsid w:val="00016FE5"/>
    <w:rsid w:val="000223B4"/>
    <w:rsid w:val="00024288"/>
    <w:rsid w:val="000336B7"/>
    <w:rsid w:val="00037280"/>
    <w:rsid w:val="00040AD9"/>
    <w:rsid w:val="00044ED2"/>
    <w:rsid w:val="00052066"/>
    <w:rsid w:val="000520D2"/>
    <w:rsid w:val="000532CC"/>
    <w:rsid w:val="00062B32"/>
    <w:rsid w:val="000668B1"/>
    <w:rsid w:val="000731C9"/>
    <w:rsid w:val="00093B16"/>
    <w:rsid w:val="00094EA6"/>
    <w:rsid w:val="000B1B47"/>
    <w:rsid w:val="000B49FB"/>
    <w:rsid w:val="000C1B18"/>
    <w:rsid w:val="000C5B64"/>
    <w:rsid w:val="000D0819"/>
    <w:rsid w:val="000D5EA2"/>
    <w:rsid w:val="000D72C7"/>
    <w:rsid w:val="000E0F0E"/>
    <w:rsid w:val="000E4564"/>
    <w:rsid w:val="001051B5"/>
    <w:rsid w:val="001417BA"/>
    <w:rsid w:val="00141A17"/>
    <w:rsid w:val="0014467C"/>
    <w:rsid w:val="00152677"/>
    <w:rsid w:val="00173C0F"/>
    <w:rsid w:val="001907E0"/>
    <w:rsid w:val="001B001A"/>
    <w:rsid w:val="001B5CFC"/>
    <w:rsid w:val="001C657A"/>
    <w:rsid w:val="001E14A3"/>
    <w:rsid w:val="001F0CEF"/>
    <w:rsid w:val="0020722A"/>
    <w:rsid w:val="00217F26"/>
    <w:rsid w:val="00223021"/>
    <w:rsid w:val="002252AA"/>
    <w:rsid w:val="00234320"/>
    <w:rsid w:val="00234B98"/>
    <w:rsid w:val="002365EB"/>
    <w:rsid w:val="00244BA0"/>
    <w:rsid w:val="00245B36"/>
    <w:rsid w:val="00253F1B"/>
    <w:rsid w:val="00264491"/>
    <w:rsid w:val="00274C8D"/>
    <w:rsid w:val="00275122"/>
    <w:rsid w:val="00286FCE"/>
    <w:rsid w:val="0029679E"/>
    <w:rsid w:val="002B5E14"/>
    <w:rsid w:val="002C3C4D"/>
    <w:rsid w:val="002C7B1B"/>
    <w:rsid w:val="002D533C"/>
    <w:rsid w:val="002E6BEC"/>
    <w:rsid w:val="002F4682"/>
    <w:rsid w:val="00300B53"/>
    <w:rsid w:val="00301A8B"/>
    <w:rsid w:val="0030414A"/>
    <w:rsid w:val="00320052"/>
    <w:rsid w:val="0035756D"/>
    <w:rsid w:val="00372A53"/>
    <w:rsid w:val="00376400"/>
    <w:rsid w:val="003767B5"/>
    <w:rsid w:val="003968BB"/>
    <w:rsid w:val="00397BA2"/>
    <w:rsid w:val="003A133E"/>
    <w:rsid w:val="003A5FDE"/>
    <w:rsid w:val="003B6529"/>
    <w:rsid w:val="003B7B0A"/>
    <w:rsid w:val="003C3ABC"/>
    <w:rsid w:val="003C6AB0"/>
    <w:rsid w:val="003D20D6"/>
    <w:rsid w:val="003D566A"/>
    <w:rsid w:val="003D79EE"/>
    <w:rsid w:val="004154A7"/>
    <w:rsid w:val="00433F39"/>
    <w:rsid w:val="004710AB"/>
    <w:rsid w:val="00474E6F"/>
    <w:rsid w:val="00481E97"/>
    <w:rsid w:val="00485EE2"/>
    <w:rsid w:val="00490B87"/>
    <w:rsid w:val="0049468E"/>
    <w:rsid w:val="004A1BD0"/>
    <w:rsid w:val="004C15B7"/>
    <w:rsid w:val="004E237F"/>
    <w:rsid w:val="004E5DCD"/>
    <w:rsid w:val="004F1763"/>
    <w:rsid w:val="004F5A33"/>
    <w:rsid w:val="004F6DC6"/>
    <w:rsid w:val="00504957"/>
    <w:rsid w:val="00504DBB"/>
    <w:rsid w:val="00514290"/>
    <w:rsid w:val="00515598"/>
    <w:rsid w:val="00530F83"/>
    <w:rsid w:val="0054138E"/>
    <w:rsid w:val="00543AC6"/>
    <w:rsid w:val="00545F49"/>
    <w:rsid w:val="00555810"/>
    <w:rsid w:val="00555C29"/>
    <w:rsid w:val="00557F53"/>
    <w:rsid w:val="005750D6"/>
    <w:rsid w:val="00577417"/>
    <w:rsid w:val="005800E4"/>
    <w:rsid w:val="00580D71"/>
    <w:rsid w:val="00582811"/>
    <w:rsid w:val="005830D1"/>
    <w:rsid w:val="005864DA"/>
    <w:rsid w:val="00587FF1"/>
    <w:rsid w:val="00594F8F"/>
    <w:rsid w:val="005A3BF7"/>
    <w:rsid w:val="005B4FFA"/>
    <w:rsid w:val="005C343D"/>
    <w:rsid w:val="005C3CB0"/>
    <w:rsid w:val="005D60D5"/>
    <w:rsid w:val="005D7586"/>
    <w:rsid w:val="005E5B1D"/>
    <w:rsid w:val="005F29C8"/>
    <w:rsid w:val="005F75F6"/>
    <w:rsid w:val="00603AFF"/>
    <w:rsid w:val="00611BFF"/>
    <w:rsid w:val="006217D4"/>
    <w:rsid w:val="00621D1D"/>
    <w:rsid w:val="00622987"/>
    <w:rsid w:val="00623F95"/>
    <w:rsid w:val="006424F4"/>
    <w:rsid w:val="006442A5"/>
    <w:rsid w:val="006464C2"/>
    <w:rsid w:val="006466B1"/>
    <w:rsid w:val="00652332"/>
    <w:rsid w:val="006527EC"/>
    <w:rsid w:val="00652B1E"/>
    <w:rsid w:val="006612EF"/>
    <w:rsid w:val="006621C9"/>
    <w:rsid w:val="00664B42"/>
    <w:rsid w:val="006715E3"/>
    <w:rsid w:val="006758DD"/>
    <w:rsid w:val="00681091"/>
    <w:rsid w:val="00697D07"/>
    <w:rsid w:val="006A30B6"/>
    <w:rsid w:val="006A3AF9"/>
    <w:rsid w:val="006A57BC"/>
    <w:rsid w:val="006B11B6"/>
    <w:rsid w:val="006B2A52"/>
    <w:rsid w:val="006C5039"/>
    <w:rsid w:val="006C5383"/>
    <w:rsid w:val="006D3D7E"/>
    <w:rsid w:val="006E0ED3"/>
    <w:rsid w:val="006E11C2"/>
    <w:rsid w:val="006E4DA3"/>
    <w:rsid w:val="00701F2D"/>
    <w:rsid w:val="00713D13"/>
    <w:rsid w:val="00734C2B"/>
    <w:rsid w:val="00741703"/>
    <w:rsid w:val="00742116"/>
    <w:rsid w:val="0075339F"/>
    <w:rsid w:val="00762C3D"/>
    <w:rsid w:val="00764513"/>
    <w:rsid w:val="00772FE7"/>
    <w:rsid w:val="00774C40"/>
    <w:rsid w:val="00783EF3"/>
    <w:rsid w:val="0078683D"/>
    <w:rsid w:val="00791431"/>
    <w:rsid w:val="00791C40"/>
    <w:rsid w:val="007954EA"/>
    <w:rsid w:val="007972A6"/>
    <w:rsid w:val="007A0EDD"/>
    <w:rsid w:val="007A4E26"/>
    <w:rsid w:val="007C4190"/>
    <w:rsid w:val="007C5AEB"/>
    <w:rsid w:val="007D018B"/>
    <w:rsid w:val="007D37E9"/>
    <w:rsid w:val="007E0823"/>
    <w:rsid w:val="007E2D01"/>
    <w:rsid w:val="007F777C"/>
    <w:rsid w:val="007F79B2"/>
    <w:rsid w:val="00807EAF"/>
    <w:rsid w:val="00811441"/>
    <w:rsid w:val="00812D26"/>
    <w:rsid w:val="00817F49"/>
    <w:rsid w:val="00820E3F"/>
    <w:rsid w:val="00826534"/>
    <w:rsid w:val="00833082"/>
    <w:rsid w:val="00833497"/>
    <w:rsid w:val="008427D0"/>
    <w:rsid w:val="008474CD"/>
    <w:rsid w:val="00857788"/>
    <w:rsid w:val="0086694B"/>
    <w:rsid w:val="00875588"/>
    <w:rsid w:val="00883085"/>
    <w:rsid w:val="00890780"/>
    <w:rsid w:val="0089233C"/>
    <w:rsid w:val="00894A1D"/>
    <w:rsid w:val="008A1300"/>
    <w:rsid w:val="008A2C65"/>
    <w:rsid w:val="008A5090"/>
    <w:rsid w:val="008B415D"/>
    <w:rsid w:val="008B52A5"/>
    <w:rsid w:val="008C2A7E"/>
    <w:rsid w:val="008D295E"/>
    <w:rsid w:val="008D2B49"/>
    <w:rsid w:val="008D5D38"/>
    <w:rsid w:val="009151A6"/>
    <w:rsid w:val="0092027C"/>
    <w:rsid w:val="00924422"/>
    <w:rsid w:val="009511F9"/>
    <w:rsid w:val="00951211"/>
    <w:rsid w:val="00953319"/>
    <w:rsid w:val="0095640D"/>
    <w:rsid w:val="0095679C"/>
    <w:rsid w:val="009577EB"/>
    <w:rsid w:val="00982A6E"/>
    <w:rsid w:val="009A4ADE"/>
    <w:rsid w:val="009B3FF3"/>
    <w:rsid w:val="009D7762"/>
    <w:rsid w:val="009E25F5"/>
    <w:rsid w:val="009F40E7"/>
    <w:rsid w:val="00A056FA"/>
    <w:rsid w:val="00A10619"/>
    <w:rsid w:val="00A137A6"/>
    <w:rsid w:val="00A146EE"/>
    <w:rsid w:val="00A17A90"/>
    <w:rsid w:val="00A23493"/>
    <w:rsid w:val="00A30F53"/>
    <w:rsid w:val="00A372B9"/>
    <w:rsid w:val="00A40344"/>
    <w:rsid w:val="00A600D6"/>
    <w:rsid w:val="00A60CC7"/>
    <w:rsid w:val="00A62C40"/>
    <w:rsid w:val="00A63EFE"/>
    <w:rsid w:val="00A64B93"/>
    <w:rsid w:val="00A70763"/>
    <w:rsid w:val="00A72EF7"/>
    <w:rsid w:val="00A83D90"/>
    <w:rsid w:val="00A86D26"/>
    <w:rsid w:val="00A9471A"/>
    <w:rsid w:val="00A9692F"/>
    <w:rsid w:val="00A979C4"/>
    <w:rsid w:val="00AA4823"/>
    <w:rsid w:val="00AA5321"/>
    <w:rsid w:val="00AB1BA2"/>
    <w:rsid w:val="00AB2910"/>
    <w:rsid w:val="00AC3EB0"/>
    <w:rsid w:val="00AC5A99"/>
    <w:rsid w:val="00AC5C82"/>
    <w:rsid w:val="00AD7939"/>
    <w:rsid w:val="00AE30D1"/>
    <w:rsid w:val="00AE4D86"/>
    <w:rsid w:val="00AE5CFA"/>
    <w:rsid w:val="00AF390F"/>
    <w:rsid w:val="00B27046"/>
    <w:rsid w:val="00B30A3F"/>
    <w:rsid w:val="00B326CE"/>
    <w:rsid w:val="00B40947"/>
    <w:rsid w:val="00B511D0"/>
    <w:rsid w:val="00B538FE"/>
    <w:rsid w:val="00BA472A"/>
    <w:rsid w:val="00BD76F8"/>
    <w:rsid w:val="00BF13D9"/>
    <w:rsid w:val="00C02406"/>
    <w:rsid w:val="00C02D05"/>
    <w:rsid w:val="00C05E79"/>
    <w:rsid w:val="00C1008E"/>
    <w:rsid w:val="00C356A3"/>
    <w:rsid w:val="00C559C0"/>
    <w:rsid w:val="00C61D51"/>
    <w:rsid w:val="00C7165B"/>
    <w:rsid w:val="00C75149"/>
    <w:rsid w:val="00C84DA7"/>
    <w:rsid w:val="00C927B2"/>
    <w:rsid w:val="00C930E5"/>
    <w:rsid w:val="00C953A8"/>
    <w:rsid w:val="00CA1505"/>
    <w:rsid w:val="00CA562B"/>
    <w:rsid w:val="00CB0FFB"/>
    <w:rsid w:val="00CC07E0"/>
    <w:rsid w:val="00CF54C6"/>
    <w:rsid w:val="00D02B11"/>
    <w:rsid w:val="00D02E95"/>
    <w:rsid w:val="00D10FCE"/>
    <w:rsid w:val="00D141BA"/>
    <w:rsid w:val="00D20AEB"/>
    <w:rsid w:val="00D26430"/>
    <w:rsid w:val="00D26E2C"/>
    <w:rsid w:val="00D31F06"/>
    <w:rsid w:val="00D46087"/>
    <w:rsid w:val="00D56F89"/>
    <w:rsid w:val="00D736E7"/>
    <w:rsid w:val="00D87B46"/>
    <w:rsid w:val="00DA1C5F"/>
    <w:rsid w:val="00DA5DA6"/>
    <w:rsid w:val="00DA612D"/>
    <w:rsid w:val="00DC702C"/>
    <w:rsid w:val="00DD0284"/>
    <w:rsid w:val="00DD2369"/>
    <w:rsid w:val="00DD63D4"/>
    <w:rsid w:val="00DE445C"/>
    <w:rsid w:val="00DF356C"/>
    <w:rsid w:val="00E04DA0"/>
    <w:rsid w:val="00E318FD"/>
    <w:rsid w:val="00E31DF0"/>
    <w:rsid w:val="00E45A17"/>
    <w:rsid w:val="00E50AC7"/>
    <w:rsid w:val="00E6672C"/>
    <w:rsid w:val="00E7179B"/>
    <w:rsid w:val="00E71C18"/>
    <w:rsid w:val="00E72F23"/>
    <w:rsid w:val="00E74CAF"/>
    <w:rsid w:val="00E7648D"/>
    <w:rsid w:val="00E77F4A"/>
    <w:rsid w:val="00E81459"/>
    <w:rsid w:val="00EA211C"/>
    <w:rsid w:val="00EA2148"/>
    <w:rsid w:val="00EB3D19"/>
    <w:rsid w:val="00ED32B3"/>
    <w:rsid w:val="00ED5AFD"/>
    <w:rsid w:val="00EE2764"/>
    <w:rsid w:val="00EF743F"/>
    <w:rsid w:val="00F13513"/>
    <w:rsid w:val="00F148D7"/>
    <w:rsid w:val="00F202CD"/>
    <w:rsid w:val="00F21F9C"/>
    <w:rsid w:val="00F272BF"/>
    <w:rsid w:val="00F3197A"/>
    <w:rsid w:val="00F529A1"/>
    <w:rsid w:val="00F52F15"/>
    <w:rsid w:val="00F53823"/>
    <w:rsid w:val="00F56057"/>
    <w:rsid w:val="00F60C66"/>
    <w:rsid w:val="00F61988"/>
    <w:rsid w:val="00F64E32"/>
    <w:rsid w:val="00F71F10"/>
    <w:rsid w:val="00F74F88"/>
    <w:rsid w:val="00F92D6B"/>
    <w:rsid w:val="00F92FFE"/>
    <w:rsid w:val="00F93AD9"/>
    <w:rsid w:val="00FA2CA2"/>
    <w:rsid w:val="00FA3917"/>
    <w:rsid w:val="00FA50C5"/>
    <w:rsid w:val="00FB05EA"/>
    <w:rsid w:val="00FC17CB"/>
    <w:rsid w:val="00FD3E43"/>
    <w:rsid w:val="00FD482E"/>
    <w:rsid w:val="00FF0198"/>
    <w:rsid w:val="00FF1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92"/>
    <o:shapelayout v:ext="edit">
      <o:idmap v:ext="edit" data="1"/>
    </o:shapelayout>
  </w:shapeDefaults>
  <w:decimalSymbol w:val=","/>
  <w:listSeparator w:val=";"/>
  <w14:docId w14:val="4DC6467E"/>
  <w15:docId w15:val="{7ADA8725-F630-4F68-8E73-1C2441B6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BA0"/>
    <w:pPr>
      <w:spacing w:line="276" w:lineRule="auto"/>
      <w:ind w:left="0"/>
    </w:pPr>
    <w:rPr>
      <w:rFonts w:ascii="Verdana" w:hAnsi="Verdana"/>
      <w:sz w:val="20"/>
    </w:rPr>
  </w:style>
  <w:style w:type="paragraph" w:styleId="Titre1">
    <w:name w:val="heading 1"/>
    <w:basedOn w:val="Normal"/>
    <w:next w:val="Normal"/>
    <w:link w:val="Titre1Car"/>
    <w:uiPriority w:val="9"/>
    <w:qFormat/>
    <w:rsid w:val="00603AFF"/>
    <w:pPr>
      <w:keepNext/>
      <w:keepLines/>
      <w:numPr>
        <w:numId w:val="16"/>
      </w:numPr>
      <w:spacing w:before="240"/>
      <w:outlineLvl w:val="0"/>
    </w:pPr>
    <w:rPr>
      <w:rFonts w:eastAsiaTheme="majorEastAsia" w:cs="Times New Roman"/>
      <w:b/>
      <w:bCs/>
      <w:color w:val="17365D" w:themeColor="text2" w:themeShade="BF"/>
      <w:sz w:val="28"/>
      <w:szCs w:val="24"/>
      <w:lang w:val="fr-BE"/>
    </w:rPr>
  </w:style>
  <w:style w:type="paragraph" w:styleId="Titre2">
    <w:name w:val="heading 2"/>
    <w:basedOn w:val="Titre1"/>
    <w:next w:val="Normal"/>
    <w:link w:val="Titre2Car"/>
    <w:uiPriority w:val="9"/>
    <w:unhideWhenUsed/>
    <w:qFormat/>
    <w:rsid w:val="00AB1BA2"/>
    <w:pPr>
      <w:numPr>
        <w:ilvl w:val="1"/>
      </w:numPr>
      <w:spacing w:before="120"/>
      <w:ind w:left="578" w:hanging="578"/>
      <w:outlineLvl w:val="1"/>
    </w:pPr>
    <w:rPr>
      <w:sz w:val="24"/>
    </w:rPr>
  </w:style>
  <w:style w:type="paragraph" w:styleId="Titre3">
    <w:name w:val="heading 3"/>
    <w:basedOn w:val="Titre1"/>
    <w:next w:val="Normal"/>
    <w:link w:val="Titre3Car"/>
    <w:uiPriority w:val="9"/>
    <w:unhideWhenUsed/>
    <w:qFormat/>
    <w:rsid w:val="00A137A6"/>
    <w:pPr>
      <w:numPr>
        <w:ilvl w:val="2"/>
      </w:numPr>
      <w:outlineLvl w:val="2"/>
    </w:pPr>
    <w:rPr>
      <w:sz w:val="22"/>
    </w:rPr>
  </w:style>
  <w:style w:type="paragraph" w:styleId="Titre4">
    <w:name w:val="heading 4"/>
    <w:basedOn w:val="Normal"/>
    <w:next w:val="Normal"/>
    <w:link w:val="Titre4Car"/>
    <w:uiPriority w:val="9"/>
    <w:semiHidden/>
    <w:unhideWhenUsed/>
    <w:rsid w:val="00E6672C"/>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6672C"/>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6672C"/>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6672C"/>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6672C"/>
    <w:pPr>
      <w:keepNext/>
      <w:keepLines/>
      <w:numPr>
        <w:ilvl w:val="7"/>
        <w:numId w:val="15"/>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E6672C"/>
    <w:pPr>
      <w:keepNext/>
      <w:keepLines/>
      <w:numPr>
        <w:ilvl w:val="8"/>
        <w:numId w:val="15"/>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B1BA2"/>
    <w:rPr>
      <w:rFonts w:ascii="Verdana" w:eastAsiaTheme="majorEastAsia" w:hAnsi="Verdana" w:cs="Times New Roman"/>
      <w:b/>
      <w:bCs/>
      <w:color w:val="17365D" w:themeColor="text2" w:themeShade="BF"/>
      <w:sz w:val="24"/>
      <w:szCs w:val="24"/>
      <w:lang w:val="fr-BE"/>
    </w:rPr>
  </w:style>
  <w:style w:type="character" w:customStyle="1" w:styleId="Titre1Car">
    <w:name w:val="Titre 1 Car"/>
    <w:basedOn w:val="Policepardfaut"/>
    <w:link w:val="Titre1"/>
    <w:uiPriority w:val="9"/>
    <w:rsid w:val="00603AFF"/>
    <w:rPr>
      <w:rFonts w:ascii="Verdana" w:eastAsiaTheme="majorEastAsia" w:hAnsi="Verdana" w:cs="Times New Roman"/>
      <w:b/>
      <w:bCs/>
      <w:color w:val="17365D" w:themeColor="text2" w:themeShade="BF"/>
      <w:sz w:val="28"/>
      <w:szCs w:val="24"/>
      <w:lang w:val="fr-BE"/>
    </w:rPr>
  </w:style>
  <w:style w:type="character" w:customStyle="1" w:styleId="Titre3Car">
    <w:name w:val="Titre 3 Car"/>
    <w:basedOn w:val="Policepardfaut"/>
    <w:link w:val="Titre3"/>
    <w:uiPriority w:val="9"/>
    <w:rsid w:val="00A137A6"/>
    <w:rPr>
      <w:rFonts w:ascii="Verdana" w:eastAsiaTheme="majorEastAsia" w:hAnsi="Verdana" w:cs="Times New Roman"/>
      <w:b/>
      <w:bCs/>
      <w:color w:val="17365D" w:themeColor="text2" w:themeShade="BF"/>
      <w:szCs w:val="24"/>
      <w:lang w:val="fr-BE"/>
    </w:rPr>
  </w:style>
  <w:style w:type="paragraph" w:styleId="En-tte">
    <w:name w:val="header"/>
    <w:basedOn w:val="Normal"/>
    <w:link w:val="En-tteCar"/>
    <w:uiPriority w:val="99"/>
    <w:unhideWhenUsed/>
    <w:rsid w:val="008A2C65"/>
    <w:pPr>
      <w:tabs>
        <w:tab w:val="center" w:pos="4536"/>
        <w:tab w:val="right" w:pos="9072"/>
      </w:tabs>
      <w:spacing w:line="240" w:lineRule="auto"/>
    </w:pPr>
  </w:style>
  <w:style w:type="character" w:customStyle="1" w:styleId="En-tteCar">
    <w:name w:val="En-tête Car"/>
    <w:basedOn w:val="Policepardfaut"/>
    <w:link w:val="En-tte"/>
    <w:uiPriority w:val="99"/>
    <w:rsid w:val="008A2C65"/>
  </w:style>
  <w:style w:type="paragraph" w:styleId="Textedebulles">
    <w:name w:val="Balloon Text"/>
    <w:basedOn w:val="Normal"/>
    <w:link w:val="TextedebullesCar"/>
    <w:uiPriority w:val="99"/>
    <w:semiHidden/>
    <w:unhideWhenUsed/>
    <w:rsid w:val="008A2C6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C65"/>
    <w:rPr>
      <w:rFonts w:ascii="Tahoma" w:hAnsi="Tahoma" w:cs="Tahoma"/>
      <w:sz w:val="16"/>
      <w:szCs w:val="16"/>
    </w:rPr>
  </w:style>
  <w:style w:type="paragraph" w:styleId="Pieddepage">
    <w:name w:val="footer"/>
    <w:basedOn w:val="Normal"/>
    <w:link w:val="PieddepageCar"/>
    <w:unhideWhenUsed/>
    <w:rsid w:val="008A2C65"/>
    <w:pPr>
      <w:tabs>
        <w:tab w:val="center" w:pos="4536"/>
        <w:tab w:val="right" w:pos="9072"/>
      </w:tabs>
      <w:spacing w:line="240" w:lineRule="auto"/>
    </w:pPr>
  </w:style>
  <w:style w:type="character" w:customStyle="1" w:styleId="PieddepageCar">
    <w:name w:val="Pied de page Car"/>
    <w:basedOn w:val="Policepardfaut"/>
    <w:link w:val="Pieddepage"/>
    <w:rsid w:val="008A2C65"/>
  </w:style>
  <w:style w:type="paragraph" w:styleId="Paragraphedeliste">
    <w:name w:val="List Paragraph"/>
    <w:basedOn w:val="Normal"/>
    <w:uiPriority w:val="34"/>
    <w:qFormat/>
    <w:rsid w:val="00007B9B"/>
    <w:pPr>
      <w:ind w:left="720"/>
      <w:contextualSpacing/>
    </w:pPr>
  </w:style>
  <w:style w:type="table" w:styleId="Grilledutableau">
    <w:name w:val="Table Grid"/>
    <w:basedOn w:val="TableauNormal"/>
    <w:uiPriority w:val="59"/>
    <w:rsid w:val="00DA1C5F"/>
    <w:pPr>
      <w:ind w:left="0"/>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A1C5F"/>
    <w:rPr>
      <w:color w:val="808080"/>
    </w:rPr>
  </w:style>
  <w:style w:type="paragraph" w:styleId="En-ttedetabledesmatires">
    <w:name w:val="TOC Heading"/>
    <w:basedOn w:val="Titre1"/>
    <w:next w:val="Normal"/>
    <w:uiPriority w:val="39"/>
    <w:unhideWhenUsed/>
    <w:qFormat/>
    <w:rsid w:val="00DD2369"/>
    <w:pPr>
      <w:outlineLvl w:val="9"/>
    </w:pPr>
    <w:rPr>
      <w:color w:val="365F91" w:themeColor="accent1" w:themeShade="BF"/>
      <w:lang w:eastAsia="fr-BE"/>
    </w:rPr>
  </w:style>
  <w:style w:type="paragraph" w:styleId="TM1">
    <w:name w:val="toc 1"/>
    <w:basedOn w:val="Normal"/>
    <w:next w:val="Normal"/>
    <w:autoRedefine/>
    <w:uiPriority w:val="39"/>
    <w:unhideWhenUsed/>
    <w:rsid w:val="00DD2369"/>
    <w:pPr>
      <w:spacing w:after="100"/>
    </w:pPr>
  </w:style>
  <w:style w:type="character" w:styleId="Lienhypertexte">
    <w:name w:val="Hyperlink"/>
    <w:basedOn w:val="Policepardfaut"/>
    <w:uiPriority w:val="99"/>
    <w:unhideWhenUsed/>
    <w:rsid w:val="00DD2369"/>
    <w:rPr>
      <w:color w:val="0000FF" w:themeColor="hyperlink"/>
      <w:u w:val="single"/>
    </w:rPr>
  </w:style>
  <w:style w:type="character" w:customStyle="1" w:styleId="Titre4Car">
    <w:name w:val="Titre 4 Car"/>
    <w:basedOn w:val="Policepardfaut"/>
    <w:link w:val="Titre4"/>
    <w:uiPriority w:val="9"/>
    <w:semiHidden/>
    <w:rsid w:val="00E6672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6672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6672C"/>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6672C"/>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6672C"/>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6672C"/>
    <w:rPr>
      <w:rFonts w:asciiTheme="majorHAnsi" w:eastAsiaTheme="majorEastAsia" w:hAnsiTheme="majorHAnsi" w:cstheme="majorBidi"/>
      <w:i/>
      <w:iCs/>
      <w:color w:val="404040" w:themeColor="text1" w:themeTint="BF"/>
      <w:sz w:val="20"/>
      <w:szCs w:val="20"/>
    </w:rPr>
  </w:style>
  <w:style w:type="paragraph" w:styleId="Sansinterligne">
    <w:name w:val="No Spacing"/>
    <w:uiPriority w:val="1"/>
    <w:qFormat/>
    <w:rsid w:val="00244BA0"/>
    <w:pPr>
      <w:ind w:left="0"/>
    </w:pPr>
    <w:rPr>
      <w:rFonts w:ascii="Verdana" w:hAnsi="Verdana"/>
      <w:sz w:val="20"/>
    </w:rPr>
  </w:style>
  <w:style w:type="paragraph" w:styleId="TM2">
    <w:name w:val="toc 2"/>
    <w:basedOn w:val="Normal"/>
    <w:next w:val="Normal"/>
    <w:autoRedefine/>
    <w:uiPriority w:val="39"/>
    <w:unhideWhenUsed/>
    <w:rsid w:val="00F71F10"/>
    <w:pPr>
      <w:spacing w:after="100"/>
      <w:ind w:left="220"/>
    </w:pPr>
  </w:style>
  <w:style w:type="paragraph" w:styleId="TM3">
    <w:name w:val="toc 3"/>
    <w:basedOn w:val="Normal"/>
    <w:next w:val="Normal"/>
    <w:autoRedefine/>
    <w:uiPriority w:val="39"/>
    <w:unhideWhenUsed/>
    <w:rsid w:val="00F272BF"/>
    <w:pPr>
      <w:spacing w:after="100"/>
      <w:ind w:left="440"/>
    </w:pPr>
  </w:style>
  <w:style w:type="paragraph" w:styleId="Notedebasdepage">
    <w:name w:val="footnote text"/>
    <w:basedOn w:val="Normal"/>
    <w:link w:val="NotedebasdepageCar"/>
    <w:uiPriority w:val="99"/>
    <w:semiHidden/>
    <w:unhideWhenUsed/>
    <w:rsid w:val="008D2B49"/>
    <w:pPr>
      <w:spacing w:line="240" w:lineRule="auto"/>
    </w:pPr>
    <w:rPr>
      <w:szCs w:val="20"/>
    </w:rPr>
  </w:style>
  <w:style w:type="character" w:customStyle="1" w:styleId="NotedebasdepageCar">
    <w:name w:val="Note de bas de page Car"/>
    <w:basedOn w:val="Policepardfaut"/>
    <w:link w:val="Notedebasdepage"/>
    <w:uiPriority w:val="99"/>
    <w:semiHidden/>
    <w:rsid w:val="008D2B49"/>
    <w:rPr>
      <w:rFonts w:ascii="Verdana" w:hAnsi="Verdana"/>
      <w:sz w:val="20"/>
      <w:szCs w:val="20"/>
    </w:rPr>
  </w:style>
  <w:style w:type="character" w:styleId="Appelnotedebasdep">
    <w:name w:val="footnote reference"/>
    <w:basedOn w:val="Policepardfaut"/>
    <w:uiPriority w:val="99"/>
    <w:semiHidden/>
    <w:unhideWhenUsed/>
    <w:rsid w:val="008D2B49"/>
    <w:rPr>
      <w:vertAlign w:val="superscript"/>
    </w:rPr>
  </w:style>
  <w:style w:type="character" w:styleId="Lienhypertextesuivivisit">
    <w:name w:val="FollowedHyperlink"/>
    <w:basedOn w:val="Policepardfaut"/>
    <w:uiPriority w:val="99"/>
    <w:semiHidden/>
    <w:unhideWhenUsed/>
    <w:rsid w:val="00A62C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84835">
      <w:bodyDiv w:val="1"/>
      <w:marLeft w:val="0"/>
      <w:marRight w:val="0"/>
      <w:marTop w:val="0"/>
      <w:marBottom w:val="0"/>
      <w:divBdr>
        <w:top w:val="none" w:sz="0" w:space="0" w:color="auto"/>
        <w:left w:val="none" w:sz="0" w:space="0" w:color="auto"/>
        <w:bottom w:val="none" w:sz="0" w:space="0" w:color="auto"/>
        <w:right w:val="none" w:sz="0" w:space="0" w:color="auto"/>
      </w:divBdr>
      <w:divsChild>
        <w:div w:id="466239486">
          <w:marLeft w:val="0"/>
          <w:marRight w:val="0"/>
          <w:marTop w:val="0"/>
          <w:marBottom w:val="0"/>
          <w:divBdr>
            <w:top w:val="none" w:sz="0" w:space="0" w:color="auto"/>
            <w:left w:val="none" w:sz="0" w:space="0" w:color="auto"/>
            <w:bottom w:val="none" w:sz="0" w:space="0" w:color="auto"/>
            <w:right w:val="none" w:sz="0" w:space="0" w:color="auto"/>
          </w:divBdr>
          <w:divsChild>
            <w:div w:id="2137604942">
              <w:marLeft w:val="0"/>
              <w:marRight w:val="0"/>
              <w:marTop w:val="0"/>
              <w:marBottom w:val="0"/>
              <w:divBdr>
                <w:top w:val="none" w:sz="0" w:space="0" w:color="auto"/>
                <w:left w:val="none" w:sz="0" w:space="0" w:color="auto"/>
                <w:bottom w:val="none" w:sz="0" w:space="0" w:color="auto"/>
                <w:right w:val="none" w:sz="0" w:space="0" w:color="auto"/>
              </w:divBdr>
              <w:divsChild>
                <w:div w:id="8449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8415">
          <w:marLeft w:val="0"/>
          <w:marRight w:val="0"/>
          <w:marTop w:val="0"/>
          <w:marBottom w:val="0"/>
          <w:divBdr>
            <w:top w:val="none" w:sz="0" w:space="0" w:color="auto"/>
            <w:left w:val="none" w:sz="0" w:space="0" w:color="auto"/>
            <w:bottom w:val="none" w:sz="0" w:space="0" w:color="auto"/>
            <w:right w:val="single" w:sz="6" w:space="12" w:color="F8F8F8"/>
          </w:divBdr>
        </w:div>
        <w:div w:id="1364088452">
          <w:marLeft w:val="0"/>
          <w:marRight w:val="0"/>
          <w:marTop w:val="0"/>
          <w:marBottom w:val="0"/>
          <w:divBdr>
            <w:top w:val="none" w:sz="0" w:space="0" w:color="auto"/>
            <w:left w:val="none" w:sz="0" w:space="0" w:color="auto"/>
            <w:bottom w:val="none" w:sz="0" w:space="0" w:color="auto"/>
            <w:right w:val="none" w:sz="0" w:space="0" w:color="auto"/>
          </w:divBdr>
          <w:divsChild>
            <w:div w:id="1495294348">
              <w:marLeft w:val="0"/>
              <w:marRight w:val="0"/>
              <w:marTop w:val="0"/>
              <w:marBottom w:val="0"/>
              <w:divBdr>
                <w:top w:val="none" w:sz="0" w:space="0" w:color="auto"/>
                <w:left w:val="none" w:sz="0" w:space="0" w:color="auto"/>
                <w:bottom w:val="none" w:sz="0" w:space="0" w:color="auto"/>
                <w:right w:val="none" w:sz="0" w:space="0" w:color="auto"/>
              </w:divBdr>
              <w:divsChild>
                <w:div w:id="11567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gpd@hap.be" TargetMode="External"/><Relationship Id="rId18" Type="http://schemas.openxmlformats.org/officeDocument/2006/relationships/hyperlink" Target="https://ennov-prd.bureautique.local:8443/ennov/psprod/document/ref/GED-PRO-01420/attachment" TargetMode="External"/><Relationship Id="rId26" Type="http://schemas.openxmlformats.org/officeDocument/2006/relationships/hyperlink" Target="https://ennov-prd.bureautique.local:8443/ennov/psprod/document/ref/GED-INFO-00288/attachment" TargetMode="External"/><Relationship Id="rId39" Type="http://schemas.openxmlformats.org/officeDocument/2006/relationships/fontTable" Target="fontTable.xml"/><Relationship Id="rId21" Type="http://schemas.openxmlformats.org/officeDocument/2006/relationships/hyperlink" Target="https://ennov-prd.bureautique.local:8443/ennov/psprod/document/ref/GED-MO-00252/attachment" TargetMode="External"/><Relationship Id="rId34" Type="http://schemas.openxmlformats.org/officeDocument/2006/relationships/hyperlink" Target="https://www.kbcbrussels.be/entreprendre/fr/articles/secteurs-specifiques/professions-liberales-medicales/responsabilite-medicale.html" TargetMode="External"/><Relationship Id="rId7" Type="http://schemas.openxmlformats.org/officeDocument/2006/relationships/endnotes" Target="endnotes.xml"/><Relationship Id="rId12" Type="http://schemas.openxmlformats.org/officeDocument/2006/relationships/hyperlink" Target="https://ser-ennov-app.bureautique.local:8443/ennov/psprod/document/ref/GED-GUI-00029/attachment" TargetMode="External"/><Relationship Id="rId17" Type="http://schemas.openxmlformats.org/officeDocument/2006/relationships/hyperlink" Target="https://ordomedic.be/fr/avis/attestations-certificats/declaration-a-la-police-aux-autorites-judiciaires/collaboration-entre-la-police-le-ministere-public-et-les-hopitaux-principes-generaux" TargetMode="External"/><Relationship Id="rId25" Type="http://schemas.openxmlformats.org/officeDocument/2006/relationships/hyperlink" Target="https://ser-ennov-app.bureautique.local:8443/ennov/psprod/document/ref/GED-PRO-00582/attachment" TargetMode="External"/><Relationship Id="rId33" Type="http://schemas.openxmlformats.org/officeDocument/2006/relationships/hyperlink" Target="https://www.expertisemedicale.be/fr/notre-intervention/erreur-medicale-accident-therapeutiqu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nov-prd.bureautique.local:8443/ennov/psprod/document/ref/GED-INFO-00092/attachment" TargetMode="External"/><Relationship Id="rId20" Type="http://schemas.openxmlformats.org/officeDocument/2006/relationships/hyperlink" Target="https://www.violencessexuelles.be/centres-prise-charge-violences-sexuelles" TargetMode="External"/><Relationship Id="rId29" Type="http://schemas.openxmlformats.org/officeDocument/2006/relationships/hyperlink" Target="https://ser-ennov-app.bureautique.local:8443/ennov/psprod/document/ref/GED-PRO-00139/atta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nnov-app.bureautique.local:8443/ennov/psprod/document/ref/GED-POL-00066/attachment" TargetMode="External"/><Relationship Id="rId24" Type="http://schemas.openxmlformats.org/officeDocument/2006/relationships/hyperlink" Target="https://ser-ennov-app.bureautique.local:8443/ennov/psprod/document/ref/GED-PRO-00579/attachment" TargetMode="External"/><Relationship Id="rId32" Type="http://schemas.openxmlformats.org/officeDocument/2006/relationships/hyperlink" Target="https://www.vocabulaire-medical.fr/encyclopedie/146-erreur-medicale-faut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r-ennov-app.bureautique.local:8443/ennov/psprod/document/ref/GED-PRO-00291/attachment" TargetMode="External"/><Relationship Id="rId23" Type="http://schemas.openxmlformats.org/officeDocument/2006/relationships/hyperlink" Target="https://www.autoriteprotectiondonnees.be/professionnel/themes/les-cameras-et-votre-vie-privee-/autre-utilisation-de-cameras" TargetMode="External"/><Relationship Id="rId28" Type="http://schemas.openxmlformats.org/officeDocument/2006/relationships/hyperlink" Target="https://ennov-prd.bureautique.local:8443/ennov/psprod/document/ref/GED-PRO-01025/attachment" TargetMode="External"/><Relationship Id="rId36" Type="http://schemas.openxmlformats.org/officeDocument/2006/relationships/hyperlink" Target="https://www.actualitesdroitbelge.be/droit-des-affaires/droit-medical/la-responsabilite-medicale-en-l-absence-de-faute/presentation-de-la-responsabilite-medicale-en-l-absence-de-faute" TargetMode="External"/><Relationship Id="rId10" Type="http://schemas.openxmlformats.org/officeDocument/2006/relationships/hyperlink" Target="mailto:mediation@hap.be" TargetMode="External"/><Relationship Id="rId19" Type="http://schemas.openxmlformats.org/officeDocument/2006/relationships/hyperlink" Target="http://www.victimes.cfwb.be/ou-trouver-aide/" TargetMode="External"/><Relationship Id="rId31" Type="http://schemas.openxmlformats.org/officeDocument/2006/relationships/hyperlink" Target="https://ordomedic.be/fr/avis/attestations-certificats/declaration-a-la-police-aux-autorites-judiciaires/collaboration-entre-la-police-le-ministere-public-et-les-hopitaux-principes-generaux" TargetMode="External"/><Relationship Id="rId4" Type="http://schemas.openxmlformats.org/officeDocument/2006/relationships/settings" Target="settings.xml"/><Relationship Id="rId9" Type="http://schemas.openxmlformats.org/officeDocument/2006/relationships/hyperlink" Target="https://ennov-prd.bureautique.local:8443/ennov/psprod/document/ref/GED-POL-00025/attachment" TargetMode="External"/><Relationship Id="rId14" Type="http://schemas.openxmlformats.org/officeDocument/2006/relationships/hyperlink" Target="http://www.hap.be" TargetMode="External"/><Relationship Id="rId22" Type="http://schemas.openxmlformats.org/officeDocument/2006/relationships/hyperlink" Target="https://ser-ennov-app.bureautique.local:8443/ennov/psprod/document/ref/GED-PRO-00582/attachment" TargetMode="External"/><Relationship Id="rId27" Type="http://schemas.openxmlformats.org/officeDocument/2006/relationships/hyperlink" Target="https://ser-ennov-app.bureautique.local:8443/ennov/psprod/document/ref/GED-PRO-00521/attachment" TargetMode="External"/><Relationship Id="rId30" Type="http://schemas.openxmlformats.org/officeDocument/2006/relationships/hyperlink" Target="https://ser-ennov-app.bureautique.local:8443/ennov/psprod/document/ref/GED-PRO-00291/attachment" TargetMode="External"/><Relationship Id="rId35" Type="http://schemas.openxmlformats.org/officeDocument/2006/relationships/hyperlink" Target="https://www.amma.be/fr/gestiondesrisquesmedicaux/" TargetMode="External"/><Relationship Id="rId8" Type="http://schemas.openxmlformats.org/officeDocument/2006/relationships/hyperlink" Target="https://ennov-prd.bureautique.local:8443/ennov/psprod/document/ref/GED-POL-00058/attachmen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package" Target="embeddings/Document_Microsoft_Word.docx"/><Relationship Id="rId7" Type="http://schemas.openxmlformats.org/officeDocument/2006/relationships/package" Target="embeddings/Document_Microsoft_Word2.docx"/><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4.emf"/><Relationship Id="rId5" Type="http://schemas.openxmlformats.org/officeDocument/2006/relationships/package" Target="embeddings/Document_Microsoft_Word1.docx"/><Relationship Id="rId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S%20MODELES%20ANAPATH%20TIVOLI\AN-QUAL-002%20document%20mod&#232;le%20proc&#233;du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9217-359A-4248-B883-85E09CB9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AN-QUAL-002 document modèle procédure</Template>
  <TotalTime>2</TotalTime>
  <Pages>10</Pages>
  <Words>4575</Words>
  <Characters>25163</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CHU Tivoli</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jdasnoy</dc:creator>
  <cp:lastModifiedBy>MINNE Tiana</cp:lastModifiedBy>
  <cp:revision>3</cp:revision>
  <cp:lastPrinted>2018-04-30T12:37:00Z</cp:lastPrinted>
  <dcterms:created xsi:type="dcterms:W3CDTF">2022-08-30T08:04:00Z</dcterms:created>
  <dcterms:modified xsi:type="dcterms:W3CDTF">2022-08-30T08:06:00Z</dcterms:modified>
</cp:coreProperties>
</file>